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95B47" w14:textId="106AEA00" w:rsidR="00E36466" w:rsidRPr="0065574D" w:rsidRDefault="00981496">
      <w:pPr>
        <w:rPr>
          <w:rFonts w:ascii="Arial" w:hAnsi="Arial" w:cs="Arial"/>
          <w:b/>
          <w:bCs/>
          <w:color w:val="000000" w:themeColor="text1"/>
        </w:rPr>
      </w:pPr>
      <w:r w:rsidRPr="0065574D">
        <w:rPr>
          <w:rFonts w:ascii="Arial" w:hAnsi="Arial" w:cs="Arial"/>
          <w:b/>
          <w:bCs/>
          <w:color w:val="000000" w:themeColor="text1"/>
        </w:rPr>
        <w:t xml:space="preserve">Grant opportunity </w:t>
      </w:r>
    </w:p>
    <w:p w14:paraId="581E9260" w14:textId="0B47B589" w:rsidR="00316A61" w:rsidRPr="0065574D" w:rsidRDefault="00D25DBF" w:rsidP="00316A61">
      <w:pPr>
        <w:rPr>
          <w:rFonts w:ascii="Arial" w:hAnsi="Arial" w:cs="Arial"/>
          <w:b/>
          <w:bCs/>
          <w:color w:val="000000" w:themeColor="text1"/>
        </w:rPr>
      </w:pPr>
      <w:r w:rsidRPr="0065574D">
        <w:rPr>
          <w:rFonts w:ascii="Arial" w:hAnsi="Arial" w:cs="Arial"/>
          <w:b/>
          <w:bCs/>
          <w:color w:val="000000" w:themeColor="text1"/>
        </w:rPr>
        <w:t>Virtual</w:t>
      </w:r>
      <w:r w:rsidR="00BD79E0" w:rsidRPr="0065574D">
        <w:rPr>
          <w:rFonts w:ascii="Arial" w:hAnsi="Arial" w:cs="Arial"/>
          <w:b/>
          <w:bCs/>
          <w:color w:val="000000" w:themeColor="text1"/>
        </w:rPr>
        <w:t xml:space="preserve"> Decisions</w:t>
      </w:r>
      <w:r w:rsidRPr="0065574D">
        <w:rPr>
          <w:rFonts w:ascii="Arial" w:hAnsi="Arial" w:cs="Arial"/>
          <w:b/>
          <w:bCs/>
          <w:color w:val="000000" w:themeColor="text1"/>
        </w:rPr>
        <w:t xml:space="preserve"> – Knives and Gang Delivery Partner</w:t>
      </w:r>
      <w:r w:rsidR="00316A61" w:rsidRPr="0065574D">
        <w:rPr>
          <w:rFonts w:ascii="Arial" w:hAnsi="Arial" w:cs="Arial"/>
          <w:b/>
          <w:bCs/>
          <w:color w:val="000000" w:themeColor="text1"/>
        </w:rPr>
        <w:t xml:space="preserve"> Grant 2025-2026</w:t>
      </w:r>
    </w:p>
    <w:p w14:paraId="7DD9EC51" w14:textId="77777777" w:rsidR="00316A61" w:rsidRPr="0065574D" w:rsidRDefault="00316A61" w:rsidP="00316A61">
      <w:pPr>
        <w:rPr>
          <w:rFonts w:ascii="Arial" w:hAnsi="Arial" w:cs="Arial"/>
          <w:b/>
          <w:bCs/>
          <w:color w:val="000000" w:themeColor="text1"/>
        </w:rPr>
      </w:pPr>
    </w:p>
    <w:p w14:paraId="3D3DB5BF" w14:textId="2B6F139D" w:rsidR="00981496" w:rsidRPr="0065574D" w:rsidRDefault="00F62B74" w:rsidP="00981496">
      <w:pPr>
        <w:pBdr>
          <w:bottom w:val="single" w:sz="4" w:space="1" w:color="auto"/>
        </w:pBdr>
        <w:rPr>
          <w:rFonts w:ascii="Arial" w:hAnsi="Arial" w:cs="Arial"/>
          <w:b/>
          <w:bCs/>
          <w:color w:val="000000" w:themeColor="text1"/>
        </w:rPr>
      </w:pPr>
      <w:r w:rsidRPr="0065574D">
        <w:rPr>
          <w:rFonts w:ascii="Arial" w:hAnsi="Arial" w:cs="Arial"/>
          <w:b/>
          <w:bCs/>
          <w:color w:val="000000" w:themeColor="text1"/>
        </w:rPr>
        <w:t xml:space="preserve">Service </w:t>
      </w:r>
      <w:r w:rsidR="00981496" w:rsidRPr="0065574D">
        <w:rPr>
          <w:rFonts w:ascii="Arial" w:hAnsi="Arial" w:cs="Arial"/>
          <w:b/>
          <w:bCs/>
          <w:color w:val="000000" w:themeColor="text1"/>
        </w:rPr>
        <w:t xml:space="preserve">Specification </w:t>
      </w:r>
    </w:p>
    <w:p w14:paraId="17D98BD9" w14:textId="77777777" w:rsidR="008B1D09" w:rsidRPr="0065574D" w:rsidRDefault="00E36466">
      <w:pPr>
        <w:rPr>
          <w:rFonts w:ascii="Arial" w:hAnsi="Arial" w:cs="Arial"/>
          <w:color w:val="000000" w:themeColor="text1"/>
        </w:rPr>
      </w:pPr>
      <w:r w:rsidRPr="0065574D">
        <w:rPr>
          <w:rFonts w:ascii="Arial" w:hAnsi="Arial" w:cs="Arial"/>
          <w:color w:val="000000" w:themeColor="text1"/>
        </w:rPr>
        <w:t xml:space="preserve">This document sets out the requirements that the grant holder will be expected to deliver. Organisations are encouraged to set out how they would meet the requirements in response to the areas below and to demonstrate innovative and creative practices they would employ to exceed the minimum requirements outlined. </w:t>
      </w:r>
    </w:p>
    <w:p w14:paraId="6E2AC81E" w14:textId="3C8D0568" w:rsidR="00E36466" w:rsidRDefault="00E36466" w:rsidP="00F16694">
      <w:pPr>
        <w:spacing w:after="0" w:line="240" w:lineRule="auto"/>
        <w:rPr>
          <w:rFonts w:ascii="Arial" w:hAnsi="Arial" w:cs="Arial"/>
          <w:color w:val="000000" w:themeColor="text1"/>
        </w:rPr>
      </w:pPr>
      <w:r w:rsidRPr="0065574D">
        <w:rPr>
          <w:rFonts w:ascii="Arial" w:hAnsi="Arial" w:cs="Arial"/>
          <w:color w:val="000000" w:themeColor="text1"/>
        </w:rPr>
        <w:t xml:space="preserve">To apply for this grant, service providers will need to complete the </w:t>
      </w:r>
      <w:r w:rsidR="008B1D09" w:rsidRPr="0065574D">
        <w:rPr>
          <w:rFonts w:ascii="Arial" w:hAnsi="Arial" w:cs="Arial"/>
          <w:color w:val="000000" w:themeColor="text1"/>
        </w:rPr>
        <w:t>accompanying Expression of Interest</w:t>
      </w:r>
      <w:r w:rsidR="00B13CD2" w:rsidRPr="0065574D">
        <w:rPr>
          <w:rFonts w:ascii="Arial" w:hAnsi="Arial" w:cs="Arial"/>
          <w:color w:val="000000" w:themeColor="text1"/>
        </w:rPr>
        <w:t xml:space="preserve">. </w:t>
      </w:r>
    </w:p>
    <w:p w14:paraId="30315431" w14:textId="77777777" w:rsidR="00F16694" w:rsidRPr="0065574D" w:rsidRDefault="00F16694" w:rsidP="00F16694">
      <w:pPr>
        <w:spacing w:after="0" w:line="240" w:lineRule="auto"/>
        <w:rPr>
          <w:rFonts w:ascii="Arial" w:hAnsi="Arial" w:cs="Arial"/>
          <w:color w:val="000000" w:themeColor="text1"/>
        </w:rPr>
      </w:pPr>
    </w:p>
    <w:p w14:paraId="1C584F85" w14:textId="2F8BEEFE" w:rsidR="00E36466" w:rsidRPr="0065574D" w:rsidRDefault="00981496" w:rsidP="00F16694">
      <w:pPr>
        <w:pBdr>
          <w:bottom w:val="single" w:sz="4" w:space="1" w:color="auto"/>
        </w:pBdr>
        <w:spacing w:after="0" w:line="240" w:lineRule="auto"/>
        <w:rPr>
          <w:rFonts w:ascii="Arial" w:hAnsi="Arial" w:cs="Arial"/>
          <w:b/>
          <w:bCs/>
          <w:color w:val="000000" w:themeColor="text1"/>
        </w:rPr>
      </w:pPr>
      <w:r w:rsidRPr="0065574D">
        <w:rPr>
          <w:rFonts w:ascii="Arial" w:hAnsi="Arial" w:cs="Arial"/>
          <w:b/>
          <w:bCs/>
          <w:color w:val="000000" w:themeColor="text1"/>
        </w:rPr>
        <w:t>Priorities, Criteria and Assessment</w:t>
      </w:r>
    </w:p>
    <w:p w14:paraId="5D4F73F5" w14:textId="77777777" w:rsidR="00F16694" w:rsidRDefault="00E36466" w:rsidP="00F16694">
      <w:pPr>
        <w:spacing w:after="0" w:line="240" w:lineRule="auto"/>
        <w:rPr>
          <w:rFonts w:ascii="Arial" w:hAnsi="Arial" w:cs="Arial"/>
          <w:color w:val="000000" w:themeColor="text1"/>
        </w:rPr>
      </w:pPr>
      <w:r w:rsidRPr="0065574D">
        <w:rPr>
          <w:rFonts w:ascii="Arial" w:hAnsi="Arial" w:cs="Arial"/>
          <w:color w:val="000000" w:themeColor="text1"/>
        </w:rPr>
        <w:t xml:space="preserve"> </w:t>
      </w:r>
    </w:p>
    <w:p w14:paraId="386CACFB" w14:textId="6F77ADB2" w:rsidR="00D672E7" w:rsidRPr="0065574D" w:rsidRDefault="00E36466" w:rsidP="00F16694">
      <w:pPr>
        <w:spacing w:after="0" w:line="240" w:lineRule="auto"/>
        <w:rPr>
          <w:rFonts w:ascii="Arial" w:hAnsi="Arial" w:cs="Arial"/>
          <w:color w:val="000000" w:themeColor="text1"/>
        </w:rPr>
      </w:pPr>
      <w:r w:rsidRPr="0065574D">
        <w:rPr>
          <w:rFonts w:ascii="Arial" w:hAnsi="Arial" w:cs="Arial"/>
          <w:color w:val="000000" w:themeColor="text1"/>
        </w:rPr>
        <w:t xml:space="preserve">Within the application we would expect the following areas to be addressed. </w:t>
      </w:r>
    </w:p>
    <w:p w14:paraId="5A86775E" w14:textId="77777777" w:rsidR="00F16694" w:rsidRDefault="00F16694" w:rsidP="00F16694">
      <w:pPr>
        <w:spacing w:after="0" w:line="240" w:lineRule="auto"/>
        <w:rPr>
          <w:rFonts w:ascii="Arial" w:hAnsi="Arial" w:cs="Arial"/>
          <w:b/>
          <w:bCs/>
          <w:color w:val="000000" w:themeColor="text1"/>
        </w:rPr>
      </w:pPr>
    </w:p>
    <w:p w14:paraId="54F4AF04" w14:textId="110DD3E3" w:rsidR="00D672E7" w:rsidRDefault="00D25DBF" w:rsidP="00F16694">
      <w:pPr>
        <w:spacing w:after="0" w:line="240" w:lineRule="auto"/>
        <w:rPr>
          <w:rFonts w:ascii="Arial" w:hAnsi="Arial" w:cs="Arial"/>
          <w:b/>
          <w:bCs/>
          <w:color w:val="000000" w:themeColor="text1"/>
        </w:rPr>
      </w:pPr>
      <w:r w:rsidRPr="0065574D">
        <w:rPr>
          <w:rFonts w:ascii="Arial" w:hAnsi="Arial" w:cs="Arial"/>
          <w:b/>
          <w:bCs/>
          <w:color w:val="000000" w:themeColor="text1"/>
        </w:rPr>
        <w:t>Delivery</w:t>
      </w:r>
      <w:r w:rsidR="00E36466" w:rsidRPr="0065574D">
        <w:rPr>
          <w:rFonts w:ascii="Arial" w:hAnsi="Arial" w:cs="Arial"/>
          <w:b/>
          <w:bCs/>
          <w:color w:val="000000" w:themeColor="text1"/>
        </w:rPr>
        <w:t xml:space="preserve"> Aim </w:t>
      </w:r>
    </w:p>
    <w:p w14:paraId="341282AE" w14:textId="77777777" w:rsidR="00F16694" w:rsidRPr="0065574D" w:rsidRDefault="00F16694" w:rsidP="00F16694">
      <w:pPr>
        <w:spacing w:after="0" w:line="240" w:lineRule="auto"/>
        <w:rPr>
          <w:rFonts w:ascii="Arial" w:hAnsi="Arial" w:cs="Arial"/>
          <w:b/>
          <w:bCs/>
          <w:color w:val="000000" w:themeColor="text1"/>
        </w:rPr>
      </w:pPr>
    </w:p>
    <w:p w14:paraId="78833BB4" w14:textId="2CE8065C" w:rsidR="00316A61" w:rsidRPr="0065574D" w:rsidRDefault="178A8806" w:rsidP="00F16694">
      <w:pPr>
        <w:spacing w:after="0" w:line="240" w:lineRule="auto"/>
        <w:rPr>
          <w:rFonts w:ascii="Arial" w:hAnsi="Arial" w:cs="Arial"/>
          <w:color w:val="000000" w:themeColor="text1"/>
        </w:rPr>
      </w:pPr>
      <w:r w:rsidRPr="0065574D">
        <w:rPr>
          <w:rFonts w:ascii="Arial" w:hAnsi="Arial" w:cs="Arial"/>
          <w:color w:val="000000" w:themeColor="text1"/>
        </w:rPr>
        <w:t>The West Yorkshire Violence Reduction Partnership has successfully delivered a pilot year of the Virtual Decisions programme</w:t>
      </w:r>
      <w:r w:rsidR="28C26585" w:rsidRPr="0065574D">
        <w:rPr>
          <w:rFonts w:ascii="Arial" w:hAnsi="Arial" w:cs="Arial"/>
          <w:color w:val="000000" w:themeColor="text1"/>
        </w:rPr>
        <w:t xml:space="preserve"> and have evidenced the success of using virtual reality as an educational tool. </w:t>
      </w:r>
    </w:p>
    <w:p w14:paraId="338BC448" w14:textId="2A74F89C" w:rsidR="30045C7F" w:rsidRPr="0065574D" w:rsidRDefault="30045C7F" w:rsidP="0EFF867C">
      <w:pPr>
        <w:rPr>
          <w:rFonts w:ascii="Arial" w:hAnsi="Arial" w:cs="Arial"/>
          <w:color w:val="000000" w:themeColor="text1"/>
        </w:rPr>
      </w:pPr>
      <w:r w:rsidRPr="0065574D">
        <w:rPr>
          <w:rFonts w:ascii="Arial" w:hAnsi="Arial" w:cs="Arial"/>
          <w:color w:val="000000" w:themeColor="text1"/>
        </w:rPr>
        <w:t xml:space="preserve">Centralising a portion of the programme through this grant intends to extend reach of the delivery across the region led by a single delivery partner. </w:t>
      </w:r>
    </w:p>
    <w:p w14:paraId="1E169532" w14:textId="688B0765" w:rsidR="4D981D20" w:rsidRPr="0065574D" w:rsidRDefault="4D981D20" w:rsidP="00F16694">
      <w:pPr>
        <w:spacing w:after="0" w:line="240" w:lineRule="auto"/>
        <w:rPr>
          <w:rFonts w:ascii="Arial" w:hAnsi="Arial" w:cs="Arial"/>
          <w:color w:val="000000" w:themeColor="text1"/>
        </w:rPr>
      </w:pPr>
      <w:r w:rsidRPr="0065574D">
        <w:rPr>
          <w:rFonts w:ascii="Arial" w:hAnsi="Arial" w:cs="Arial"/>
          <w:color w:val="000000" w:themeColor="text1"/>
        </w:rPr>
        <w:t xml:space="preserve">The programme </w:t>
      </w:r>
      <w:r w:rsidR="793C0852" w:rsidRPr="0065574D">
        <w:rPr>
          <w:rFonts w:ascii="Arial" w:hAnsi="Arial" w:cs="Arial"/>
          <w:color w:val="000000" w:themeColor="text1"/>
        </w:rPr>
        <w:t xml:space="preserve">is aimed at children aged 12-18 </w:t>
      </w:r>
      <w:r w:rsidR="25630778" w:rsidRPr="0065574D">
        <w:rPr>
          <w:rFonts w:ascii="Arial" w:hAnsi="Arial" w:cs="Arial"/>
          <w:color w:val="000000" w:themeColor="text1"/>
        </w:rPr>
        <w:t>across the whole of West Yorkshire</w:t>
      </w:r>
      <w:r w:rsidR="0C895E0E" w:rsidRPr="0065574D">
        <w:rPr>
          <w:rFonts w:ascii="Arial" w:hAnsi="Arial" w:cs="Arial"/>
          <w:color w:val="000000" w:themeColor="text1"/>
        </w:rPr>
        <w:t xml:space="preserve"> and is intended to be delivered alongside schools, VCSE organisations, and other children’s services</w:t>
      </w:r>
      <w:r w:rsidR="000C7738" w:rsidRPr="0065574D">
        <w:rPr>
          <w:rFonts w:ascii="Arial" w:hAnsi="Arial" w:cs="Arial"/>
          <w:color w:val="000000" w:themeColor="text1"/>
        </w:rPr>
        <w:t>/provision</w:t>
      </w:r>
      <w:r w:rsidR="0C895E0E" w:rsidRPr="0065574D">
        <w:rPr>
          <w:rFonts w:ascii="Arial" w:hAnsi="Arial" w:cs="Arial"/>
          <w:color w:val="000000" w:themeColor="text1"/>
        </w:rPr>
        <w:t xml:space="preserve"> in the region. </w:t>
      </w:r>
    </w:p>
    <w:p w14:paraId="6CC1B1C7" w14:textId="77777777" w:rsidR="00316A61" w:rsidRPr="0065574D" w:rsidRDefault="00316A61" w:rsidP="00F16694">
      <w:pPr>
        <w:pStyle w:val="ListBullet"/>
        <w:numPr>
          <w:ilvl w:val="0"/>
          <w:numId w:val="0"/>
        </w:numPr>
        <w:spacing w:after="0" w:line="240" w:lineRule="auto"/>
        <w:rPr>
          <w:rFonts w:ascii="Arial" w:hAnsi="Arial" w:cs="Arial"/>
          <w:color w:val="000000" w:themeColor="text1"/>
        </w:rPr>
      </w:pPr>
    </w:p>
    <w:p w14:paraId="0FC30DE8" w14:textId="764B1358" w:rsidR="006A5F37" w:rsidRPr="0065574D" w:rsidRDefault="00D25DBF" w:rsidP="00F16694">
      <w:pPr>
        <w:pStyle w:val="ListBullet"/>
        <w:numPr>
          <w:ilvl w:val="0"/>
          <w:numId w:val="0"/>
        </w:numPr>
        <w:pBdr>
          <w:bottom w:val="single" w:sz="4" w:space="1" w:color="auto"/>
        </w:pBdr>
        <w:spacing w:after="0" w:line="240" w:lineRule="auto"/>
        <w:ind w:left="360" w:hanging="360"/>
        <w:rPr>
          <w:rFonts w:ascii="Arial" w:hAnsi="Arial" w:cs="Arial"/>
          <w:b/>
          <w:bCs/>
          <w:color w:val="000000" w:themeColor="text1"/>
        </w:rPr>
      </w:pPr>
      <w:r w:rsidRPr="0065574D">
        <w:rPr>
          <w:rFonts w:ascii="Arial" w:hAnsi="Arial" w:cs="Arial"/>
          <w:b/>
          <w:bCs/>
          <w:color w:val="000000" w:themeColor="text1"/>
        </w:rPr>
        <w:t>Delivery</w:t>
      </w:r>
      <w:r w:rsidR="008A6578" w:rsidRPr="0065574D">
        <w:rPr>
          <w:rFonts w:ascii="Arial" w:hAnsi="Arial" w:cs="Arial"/>
          <w:b/>
          <w:bCs/>
          <w:color w:val="000000" w:themeColor="text1"/>
        </w:rPr>
        <w:t xml:space="preserve"> Objectives </w:t>
      </w:r>
    </w:p>
    <w:p w14:paraId="19D91F46" w14:textId="77777777" w:rsidR="006A5F37" w:rsidRPr="0065574D" w:rsidRDefault="006A5F37" w:rsidP="008A6578">
      <w:pPr>
        <w:pStyle w:val="ListBullet"/>
        <w:numPr>
          <w:ilvl w:val="0"/>
          <w:numId w:val="0"/>
        </w:numPr>
        <w:ind w:left="360" w:hanging="360"/>
        <w:rPr>
          <w:rFonts w:ascii="Arial" w:hAnsi="Arial" w:cs="Arial"/>
          <w:color w:val="000000" w:themeColor="text1"/>
        </w:rPr>
      </w:pPr>
    </w:p>
    <w:p w14:paraId="17C86097" w14:textId="1CE6320F" w:rsidR="006A5F37" w:rsidRPr="0065574D" w:rsidRDefault="008A6578" w:rsidP="006A5F37">
      <w:pPr>
        <w:pStyle w:val="ListBullet"/>
        <w:numPr>
          <w:ilvl w:val="0"/>
          <w:numId w:val="0"/>
        </w:numPr>
        <w:rPr>
          <w:rFonts w:ascii="Arial" w:hAnsi="Arial" w:cs="Arial"/>
          <w:color w:val="000000" w:themeColor="text1"/>
        </w:rPr>
      </w:pPr>
      <w:r w:rsidRPr="0065574D">
        <w:rPr>
          <w:rFonts w:ascii="Arial" w:hAnsi="Arial" w:cs="Arial"/>
          <w:color w:val="000000" w:themeColor="text1"/>
        </w:rPr>
        <w:t xml:space="preserve">Applicants must demonstrate how their </w:t>
      </w:r>
      <w:r w:rsidR="00D25DBF" w:rsidRPr="0065574D">
        <w:rPr>
          <w:rFonts w:ascii="Arial" w:hAnsi="Arial" w:cs="Arial"/>
          <w:color w:val="000000" w:themeColor="text1"/>
        </w:rPr>
        <w:t xml:space="preserve">delivery </w:t>
      </w:r>
      <w:r w:rsidRPr="0065574D">
        <w:rPr>
          <w:rFonts w:ascii="Arial" w:hAnsi="Arial" w:cs="Arial"/>
          <w:color w:val="000000" w:themeColor="text1"/>
        </w:rPr>
        <w:t xml:space="preserve">service meets the following key objectives of the </w:t>
      </w:r>
      <w:r w:rsidR="00D25DBF" w:rsidRPr="0065574D">
        <w:rPr>
          <w:rFonts w:ascii="Arial" w:hAnsi="Arial" w:cs="Arial"/>
          <w:color w:val="000000" w:themeColor="text1"/>
        </w:rPr>
        <w:t xml:space="preserve">Virtual </w:t>
      </w:r>
      <w:r w:rsidR="00227085" w:rsidRPr="0065574D">
        <w:rPr>
          <w:rFonts w:ascii="Arial" w:hAnsi="Arial" w:cs="Arial"/>
          <w:color w:val="000000" w:themeColor="text1"/>
        </w:rPr>
        <w:t>Decisions</w:t>
      </w:r>
      <w:r w:rsidR="00D25DBF" w:rsidRPr="0065574D">
        <w:rPr>
          <w:rFonts w:ascii="Arial" w:hAnsi="Arial" w:cs="Arial"/>
          <w:color w:val="000000" w:themeColor="text1"/>
        </w:rPr>
        <w:t xml:space="preserve"> – Knives and Gangs programme</w:t>
      </w:r>
      <w:r w:rsidR="00E550D2" w:rsidRPr="0065574D">
        <w:rPr>
          <w:rFonts w:ascii="Arial" w:hAnsi="Arial" w:cs="Arial"/>
          <w:color w:val="000000" w:themeColor="text1"/>
        </w:rPr>
        <w:t>:</w:t>
      </w:r>
    </w:p>
    <w:p w14:paraId="3293B713" w14:textId="4FF14F9E" w:rsidR="1C512220" w:rsidRPr="0065574D" w:rsidRDefault="1C512220" w:rsidP="1C512220">
      <w:pPr>
        <w:pStyle w:val="ListBullet"/>
        <w:numPr>
          <w:ilvl w:val="0"/>
          <w:numId w:val="0"/>
        </w:numPr>
        <w:rPr>
          <w:rFonts w:ascii="Arial" w:hAnsi="Arial" w:cs="Arial"/>
          <w:color w:val="000000" w:themeColor="text1"/>
        </w:rPr>
      </w:pPr>
    </w:p>
    <w:p w14:paraId="4F6B009C" w14:textId="7BE93CEB" w:rsidR="136FD554" w:rsidRPr="0065574D" w:rsidRDefault="136FD554" w:rsidP="1C512220">
      <w:pPr>
        <w:pStyle w:val="ListBullet"/>
        <w:rPr>
          <w:rFonts w:ascii="Arial" w:hAnsi="Arial" w:cs="Arial"/>
          <w:color w:val="000000" w:themeColor="text1"/>
        </w:rPr>
      </w:pPr>
      <w:r w:rsidRPr="0065574D">
        <w:rPr>
          <w:rFonts w:ascii="Arial" w:hAnsi="Arial" w:cs="Arial"/>
          <w:color w:val="000000" w:themeColor="text1"/>
        </w:rPr>
        <w:t xml:space="preserve">Children and young people </w:t>
      </w:r>
      <w:r w:rsidR="5E96B93E" w:rsidRPr="0065574D">
        <w:rPr>
          <w:rFonts w:ascii="Arial" w:hAnsi="Arial" w:cs="Arial"/>
          <w:color w:val="000000" w:themeColor="text1"/>
        </w:rPr>
        <w:t xml:space="preserve">better </w:t>
      </w:r>
      <w:r w:rsidRPr="0065574D">
        <w:rPr>
          <w:rFonts w:ascii="Arial" w:hAnsi="Arial" w:cs="Arial"/>
          <w:color w:val="000000" w:themeColor="text1"/>
        </w:rPr>
        <w:t>understand the consequences of actions portrayed in the films</w:t>
      </w:r>
    </w:p>
    <w:p w14:paraId="3FBC546F" w14:textId="5D5BC3EF" w:rsidR="136FD554" w:rsidRPr="0065574D" w:rsidRDefault="136FD554" w:rsidP="1C512220">
      <w:pPr>
        <w:pStyle w:val="ListBullet"/>
        <w:rPr>
          <w:rFonts w:ascii="Arial" w:hAnsi="Arial" w:cs="Arial"/>
          <w:color w:val="000000" w:themeColor="text1"/>
        </w:rPr>
      </w:pPr>
      <w:r w:rsidRPr="0065574D">
        <w:rPr>
          <w:rFonts w:ascii="Arial" w:hAnsi="Arial" w:cs="Arial"/>
          <w:color w:val="000000" w:themeColor="text1"/>
        </w:rPr>
        <w:t>Children and young people</w:t>
      </w:r>
      <w:r w:rsidR="2BEABC61" w:rsidRPr="0065574D">
        <w:rPr>
          <w:rFonts w:ascii="Arial" w:hAnsi="Arial" w:cs="Arial"/>
          <w:color w:val="000000" w:themeColor="text1"/>
        </w:rPr>
        <w:t xml:space="preserve"> engage and</w:t>
      </w:r>
      <w:r w:rsidRPr="0065574D">
        <w:rPr>
          <w:rFonts w:ascii="Arial" w:hAnsi="Arial" w:cs="Arial"/>
          <w:color w:val="000000" w:themeColor="text1"/>
        </w:rPr>
        <w:t xml:space="preserve"> learn something new from the workshop</w:t>
      </w:r>
      <w:r w:rsidR="410E6158" w:rsidRPr="0065574D">
        <w:rPr>
          <w:rFonts w:ascii="Arial" w:hAnsi="Arial" w:cs="Arial"/>
          <w:color w:val="000000" w:themeColor="text1"/>
        </w:rPr>
        <w:t xml:space="preserve"> about knives and/or gangs</w:t>
      </w:r>
    </w:p>
    <w:p w14:paraId="25F7ECA1" w14:textId="7777456C" w:rsidR="136FD554" w:rsidRPr="0065574D" w:rsidRDefault="136FD554" w:rsidP="1C512220">
      <w:pPr>
        <w:pStyle w:val="ListBullet"/>
        <w:rPr>
          <w:rFonts w:ascii="Arial" w:hAnsi="Arial" w:cs="Arial"/>
          <w:color w:val="000000" w:themeColor="text1"/>
        </w:rPr>
      </w:pPr>
      <w:r w:rsidRPr="0065574D">
        <w:rPr>
          <w:rFonts w:ascii="Arial" w:hAnsi="Arial" w:cs="Arial"/>
          <w:color w:val="000000" w:themeColor="text1"/>
        </w:rPr>
        <w:t>Children and young people are more able to make informed decisions</w:t>
      </w:r>
      <w:r w:rsidR="5455DB58" w:rsidRPr="0065574D">
        <w:rPr>
          <w:rFonts w:ascii="Arial" w:hAnsi="Arial" w:cs="Arial"/>
          <w:color w:val="000000" w:themeColor="text1"/>
        </w:rPr>
        <w:t xml:space="preserve"> based on what they have learnt from the films</w:t>
      </w:r>
    </w:p>
    <w:p w14:paraId="79AD5E71" w14:textId="3F0DFFD1" w:rsidR="136FD554" w:rsidRPr="0065574D" w:rsidRDefault="136FD554" w:rsidP="1C512220">
      <w:pPr>
        <w:pStyle w:val="ListBullet"/>
        <w:rPr>
          <w:rFonts w:ascii="Arial" w:hAnsi="Arial" w:cs="Arial"/>
          <w:color w:val="000000" w:themeColor="text1"/>
        </w:rPr>
      </w:pPr>
      <w:r w:rsidRPr="0065574D">
        <w:rPr>
          <w:rFonts w:ascii="Arial" w:hAnsi="Arial" w:cs="Arial"/>
          <w:color w:val="000000" w:themeColor="text1"/>
        </w:rPr>
        <w:t xml:space="preserve">Children and young people’s ability to take positive action is increased </w:t>
      </w:r>
    </w:p>
    <w:p w14:paraId="70A8D1E7" w14:textId="77777777" w:rsidR="006A5F37" w:rsidRDefault="006A5F37" w:rsidP="006A5F37">
      <w:pPr>
        <w:pStyle w:val="ListBullet"/>
        <w:numPr>
          <w:ilvl w:val="0"/>
          <w:numId w:val="0"/>
        </w:numPr>
        <w:rPr>
          <w:rFonts w:ascii="Arial" w:hAnsi="Arial" w:cs="Arial"/>
          <w:color w:val="000000" w:themeColor="text1"/>
        </w:rPr>
      </w:pPr>
    </w:p>
    <w:p w14:paraId="6BB71761" w14:textId="77777777" w:rsidR="006246E9" w:rsidRDefault="006246E9" w:rsidP="006A5F37">
      <w:pPr>
        <w:pStyle w:val="ListBullet"/>
        <w:numPr>
          <w:ilvl w:val="0"/>
          <w:numId w:val="0"/>
        </w:numPr>
        <w:rPr>
          <w:rFonts w:ascii="Arial" w:hAnsi="Arial" w:cs="Arial"/>
          <w:color w:val="000000" w:themeColor="text1"/>
        </w:rPr>
      </w:pPr>
    </w:p>
    <w:p w14:paraId="6DAD08C9" w14:textId="77777777" w:rsidR="006246E9" w:rsidRDefault="006246E9" w:rsidP="006A5F37">
      <w:pPr>
        <w:pStyle w:val="ListBullet"/>
        <w:numPr>
          <w:ilvl w:val="0"/>
          <w:numId w:val="0"/>
        </w:numPr>
        <w:rPr>
          <w:rFonts w:ascii="Arial" w:hAnsi="Arial" w:cs="Arial"/>
          <w:color w:val="000000" w:themeColor="text1"/>
        </w:rPr>
      </w:pPr>
    </w:p>
    <w:p w14:paraId="30657230" w14:textId="77777777" w:rsidR="006246E9" w:rsidRPr="0065574D" w:rsidRDefault="006246E9" w:rsidP="006A5F37">
      <w:pPr>
        <w:pStyle w:val="ListBullet"/>
        <w:numPr>
          <w:ilvl w:val="0"/>
          <w:numId w:val="0"/>
        </w:numPr>
        <w:rPr>
          <w:rFonts w:ascii="Arial" w:hAnsi="Arial" w:cs="Arial"/>
          <w:color w:val="000000" w:themeColor="text1"/>
        </w:rPr>
      </w:pPr>
    </w:p>
    <w:p w14:paraId="3FD192FB" w14:textId="77777777" w:rsidR="00D634FF" w:rsidRPr="0065574D" w:rsidRDefault="00D634FF" w:rsidP="00316A61">
      <w:pPr>
        <w:pStyle w:val="ListBullet"/>
        <w:numPr>
          <w:ilvl w:val="0"/>
          <w:numId w:val="0"/>
        </w:numPr>
        <w:pBdr>
          <w:bottom w:val="single" w:sz="4" w:space="1" w:color="auto"/>
        </w:pBdr>
        <w:ind w:left="360" w:hanging="360"/>
        <w:rPr>
          <w:rFonts w:ascii="Arial" w:hAnsi="Arial" w:cs="Arial"/>
          <w:b/>
          <w:bCs/>
          <w:color w:val="000000" w:themeColor="text1"/>
        </w:rPr>
      </w:pPr>
      <w:r w:rsidRPr="0065574D">
        <w:rPr>
          <w:rFonts w:ascii="Arial" w:hAnsi="Arial" w:cs="Arial"/>
          <w:b/>
          <w:bCs/>
          <w:color w:val="000000" w:themeColor="text1"/>
        </w:rPr>
        <w:lastRenderedPageBreak/>
        <w:t xml:space="preserve">Multi Agency Working and Partnership Requirements </w:t>
      </w:r>
    </w:p>
    <w:p w14:paraId="468AB1E9" w14:textId="77777777" w:rsidR="00D634FF" w:rsidRPr="0065574D" w:rsidRDefault="00D634FF" w:rsidP="00D634FF">
      <w:pPr>
        <w:pStyle w:val="ListBullet"/>
        <w:numPr>
          <w:ilvl w:val="0"/>
          <w:numId w:val="0"/>
        </w:numPr>
        <w:rPr>
          <w:rFonts w:ascii="Arial" w:hAnsi="Arial" w:cs="Arial"/>
          <w:color w:val="000000" w:themeColor="text1"/>
        </w:rPr>
      </w:pPr>
    </w:p>
    <w:p w14:paraId="001D1830" w14:textId="78096144" w:rsidR="00D634FF" w:rsidRPr="0065574D" w:rsidRDefault="00D634FF" w:rsidP="0EFF867C">
      <w:pPr>
        <w:pStyle w:val="ListBullet"/>
        <w:numPr>
          <w:ilvl w:val="0"/>
          <w:numId w:val="0"/>
        </w:numPr>
        <w:rPr>
          <w:rFonts w:ascii="Arial" w:hAnsi="Arial" w:cs="Arial"/>
          <w:color w:val="000000" w:themeColor="text1"/>
        </w:rPr>
      </w:pPr>
      <w:r w:rsidRPr="0065574D">
        <w:rPr>
          <w:rFonts w:ascii="Arial" w:hAnsi="Arial" w:cs="Arial"/>
          <w:color w:val="000000" w:themeColor="text1"/>
        </w:rPr>
        <w:t xml:space="preserve">The </w:t>
      </w:r>
      <w:r w:rsidR="29355475" w:rsidRPr="0065574D">
        <w:rPr>
          <w:rFonts w:ascii="Arial" w:hAnsi="Arial" w:cs="Arial"/>
          <w:color w:val="000000" w:themeColor="text1"/>
        </w:rPr>
        <w:t xml:space="preserve">delivery partner will need to have established, or work to establish, effective partnerships </w:t>
      </w:r>
      <w:r w:rsidR="1478C07D" w:rsidRPr="0065574D">
        <w:rPr>
          <w:rFonts w:ascii="Arial" w:hAnsi="Arial" w:cs="Arial"/>
          <w:color w:val="000000" w:themeColor="text1"/>
        </w:rPr>
        <w:t>with schools, VCSE organisations, youth clubs, and other children’s services</w:t>
      </w:r>
      <w:r w:rsidR="00AA56AB" w:rsidRPr="0065574D">
        <w:rPr>
          <w:rFonts w:ascii="Arial" w:hAnsi="Arial" w:cs="Arial"/>
          <w:color w:val="000000" w:themeColor="text1"/>
        </w:rPr>
        <w:t>/provision</w:t>
      </w:r>
      <w:r w:rsidR="1478C07D" w:rsidRPr="0065574D">
        <w:rPr>
          <w:rFonts w:ascii="Arial" w:hAnsi="Arial" w:cs="Arial"/>
          <w:color w:val="000000" w:themeColor="text1"/>
        </w:rPr>
        <w:t xml:space="preserve"> across West Yorkshire to facilitate the delivery of the Virtual Decisions programme. </w:t>
      </w:r>
    </w:p>
    <w:p w14:paraId="0E64DB9E" w14:textId="6CD90650" w:rsidR="0EFF867C" w:rsidRPr="0065574D" w:rsidRDefault="0EFF867C" w:rsidP="0EFF867C">
      <w:pPr>
        <w:pStyle w:val="ListBullet"/>
        <w:numPr>
          <w:ilvl w:val="0"/>
          <w:numId w:val="0"/>
        </w:numPr>
        <w:rPr>
          <w:rFonts w:ascii="Arial" w:hAnsi="Arial" w:cs="Arial"/>
          <w:color w:val="000000" w:themeColor="text1"/>
        </w:rPr>
      </w:pPr>
    </w:p>
    <w:p w14:paraId="034600C0" w14:textId="02E9DB15" w:rsidR="000BF6A3" w:rsidRPr="0065574D" w:rsidRDefault="000BF6A3" w:rsidP="0EFF867C">
      <w:pPr>
        <w:pStyle w:val="ListBullet"/>
        <w:numPr>
          <w:ilvl w:val="0"/>
          <w:numId w:val="0"/>
        </w:numPr>
        <w:rPr>
          <w:rFonts w:ascii="Arial" w:hAnsi="Arial" w:cs="Arial"/>
          <w:color w:val="000000" w:themeColor="text1"/>
        </w:rPr>
      </w:pPr>
      <w:r w:rsidRPr="0065574D">
        <w:rPr>
          <w:rFonts w:ascii="Arial" w:hAnsi="Arial" w:cs="Arial"/>
          <w:color w:val="000000" w:themeColor="text1"/>
        </w:rPr>
        <w:t>The</w:t>
      </w:r>
      <w:r w:rsidR="00D634FF" w:rsidRPr="0065574D">
        <w:rPr>
          <w:rFonts w:ascii="Arial" w:hAnsi="Arial" w:cs="Arial"/>
          <w:color w:val="000000" w:themeColor="text1"/>
        </w:rPr>
        <w:t xml:space="preserve"> </w:t>
      </w:r>
      <w:r w:rsidRPr="0065574D">
        <w:rPr>
          <w:rFonts w:ascii="Arial" w:hAnsi="Arial" w:cs="Arial"/>
          <w:color w:val="000000" w:themeColor="text1"/>
        </w:rPr>
        <w:t xml:space="preserve">delivery partner will work with </w:t>
      </w:r>
      <w:r w:rsidR="47D2FAF0" w:rsidRPr="0065574D">
        <w:rPr>
          <w:rFonts w:ascii="Arial" w:hAnsi="Arial" w:cs="Arial"/>
          <w:color w:val="000000" w:themeColor="text1"/>
        </w:rPr>
        <w:t xml:space="preserve">the agencies detailed above to schedule </w:t>
      </w:r>
      <w:r w:rsidR="7A06AA11" w:rsidRPr="0065574D">
        <w:rPr>
          <w:rFonts w:ascii="Arial" w:hAnsi="Arial" w:cs="Arial"/>
          <w:color w:val="000000" w:themeColor="text1"/>
        </w:rPr>
        <w:t xml:space="preserve">sessions for delivery and ensure these are well-structured allowing enough time for the workshops to be conducted and evaluation to be undertaken. </w:t>
      </w:r>
    </w:p>
    <w:p w14:paraId="42A1B61A" w14:textId="77777777" w:rsidR="00316A61" w:rsidRPr="0065574D" w:rsidRDefault="00316A61" w:rsidP="00D634FF">
      <w:pPr>
        <w:pStyle w:val="ListBullet"/>
        <w:numPr>
          <w:ilvl w:val="0"/>
          <w:numId w:val="0"/>
        </w:numPr>
        <w:rPr>
          <w:rFonts w:ascii="Arial" w:hAnsi="Arial" w:cs="Arial"/>
          <w:color w:val="000000" w:themeColor="text1"/>
        </w:rPr>
      </w:pPr>
    </w:p>
    <w:p w14:paraId="3C5AA1FA" w14:textId="0188BEB2" w:rsidR="00662170" w:rsidRPr="0065574D" w:rsidRDefault="00D634FF" w:rsidP="00316A61">
      <w:pPr>
        <w:pStyle w:val="ListBullet"/>
        <w:numPr>
          <w:ilvl w:val="0"/>
          <w:numId w:val="0"/>
        </w:numPr>
        <w:pBdr>
          <w:bottom w:val="single" w:sz="4" w:space="1" w:color="auto"/>
        </w:pBdr>
        <w:rPr>
          <w:rFonts w:ascii="Arial" w:hAnsi="Arial" w:cs="Arial"/>
          <w:b/>
          <w:bCs/>
          <w:color w:val="000000" w:themeColor="text1"/>
        </w:rPr>
      </w:pPr>
      <w:r w:rsidRPr="0065574D">
        <w:rPr>
          <w:rFonts w:ascii="Arial" w:hAnsi="Arial" w:cs="Arial"/>
          <w:b/>
          <w:bCs/>
          <w:color w:val="000000" w:themeColor="text1"/>
        </w:rPr>
        <w:t>Resourcing, Staffing and Safeguard</w:t>
      </w:r>
      <w:r w:rsidR="00AD157B" w:rsidRPr="0065574D">
        <w:rPr>
          <w:rFonts w:ascii="Arial" w:hAnsi="Arial" w:cs="Arial"/>
          <w:b/>
          <w:bCs/>
          <w:color w:val="000000" w:themeColor="text1"/>
        </w:rPr>
        <w:t>ing</w:t>
      </w:r>
    </w:p>
    <w:p w14:paraId="5E8F26DC" w14:textId="77777777" w:rsidR="00662170" w:rsidRPr="0065574D" w:rsidRDefault="00662170" w:rsidP="00D634FF">
      <w:pPr>
        <w:pStyle w:val="ListBullet"/>
        <w:numPr>
          <w:ilvl w:val="0"/>
          <w:numId w:val="0"/>
        </w:numPr>
        <w:rPr>
          <w:rFonts w:ascii="Arial" w:hAnsi="Arial" w:cs="Arial"/>
          <w:color w:val="000000" w:themeColor="text1"/>
        </w:rPr>
      </w:pPr>
    </w:p>
    <w:p w14:paraId="62D75160" w14:textId="245F09AE" w:rsidR="00396FFB" w:rsidRPr="0065574D" w:rsidRDefault="00396FFB" w:rsidP="00396FFB">
      <w:pPr>
        <w:pStyle w:val="ListBullet"/>
        <w:numPr>
          <w:ilvl w:val="0"/>
          <w:numId w:val="0"/>
        </w:numPr>
        <w:rPr>
          <w:rFonts w:ascii="Arial" w:hAnsi="Arial" w:cs="Arial"/>
          <w:color w:val="000000" w:themeColor="text1"/>
        </w:rPr>
      </w:pPr>
      <w:r w:rsidRPr="0065574D">
        <w:rPr>
          <w:rFonts w:ascii="Arial" w:hAnsi="Arial" w:cs="Arial"/>
          <w:color w:val="000000" w:themeColor="text1"/>
        </w:rPr>
        <w:t xml:space="preserve">The Provider shall ensure that the staff are recruited, inducted, trained, and supported appropriately </w:t>
      </w:r>
      <w:r w:rsidR="00C53EE7" w:rsidRPr="0065574D">
        <w:rPr>
          <w:rFonts w:ascii="Arial" w:hAnsi="Arial" w:cs="Arial"/>
          <w:color w:val="000000" w:themeColor="text1"/>
        </w:rPr>
        <w:t xml:space="preserve">to </w:t>
      </w:r>
      <w:r w:rsidRPr="0065574D">
        <w:rPr>
          <w:rFonts w:ascii="Arial" w:hAnsi="Arial" w:cs="Arial"/>
          <w:color w:val="000000" w:themeColor="text1"/>
        </w:rPr>
        <w:t xml:space="preserve">work with </w:t>
      </w:r>
      <w:r w:rsidR="00C53EE7" w:rsidRPr="0065574D">
        <w:rPr>
          <w:rFonts w:ascii="Arial" w:hAnsi="Arial" w:cs="Arial"/>
          <w:color w:val="000000" w:themeColor="text1"/>
        </w:rPr>
        <w:t xml:space="preserve">children and young people, including those who may be vulnerable. </w:t>
      </w:r>
    </w:p>
    <w:p w14:paraId="7959CDD4" w14:textId="77777777" w:rsidR="00396FFB" w:rsidRPr="0065574D" w:rsidRDefault="00396FFB" w:rsidP="00396FFB">
      <w:pPr>
        <w:pStyle w:val="ListBullet"/>
        <w:numPr>
          <w:ilvl w:val="0"/>
          <w:numId w:val="0"/>
        </w:numPr>
        <w:rPr>
          <w:rFonts w:ascii="Arial" w:hAnsi="Arial" w:cs="Arial"/>
          <w:color w:val="000000" w:themeColor="text1"/>
        </w:rPr>
      </w:pPr>
    </w:p>
    <w:p w14:paraId="22A347DC" w14:textId="77777777" w:rsidR="00396FFB" w:rsidRPr="0065574D" w:rsidRDefault="00396FFB" w:rsidP="00396FFB">
      <w:pPr>
        <w:pStyle w:val="ListBullet"/>
        <w:rPr>
          <w:rFonts w:ascii="Arial" w:hAnsi="Arial" w:cs="Arial"/>
          <w:color w:val="000000" w:themeColor="text1"/>
        </w:rPr>
      </w:pPr>
      <w:r w:rsidRPr="0065574D">
        <w:rPr>
          <w:rFonts w:ascii="Arial" w:hAnsi="Arial" w:cs="Arial"/>
          <w:color w:val="000000" w:themeColor="text1"/>
        </w:rPr>
        <w:t>Supervise Staff on a regular basis.</w:t>
      </w:r>
    </w:p>
    <w:p w14:paraId="7B05FDF4" w14:textId="5192BA10" w:rsidR="00396FFB" w:rsidRPr="0065574D" w:rsidRDefault="00396FFB" w:rsidP="00396FFB">
      <w:pPr>
        <w:pStyle w:val="ListBullet"/>
        <w:rPr>
          <w:rFonts w:ascii="Arial" w:hAnsi="Arial" w:cs="Arial"/>
          <w:color w:val="000000" w:themeColor="text1"/>
        </w:rPr>
      </w:pPr>
      <w:r w:rsidRPr="0065574D">
        <w:rPr>
          <w:rFonts w:ascii="Arial" w:hAnsi="Arial" w:cs="Arial"/>
          <w:color w:val="000000" w:themeColor="text1"/>
        </w:rPr>
        <w:t>Ensuring staff remain up-to-date and compliant with all organisational procedures, policies, a professional code of conduct and uphold standards of best practice.</w:t>
      </w:r>
    </w:p>
    <w:p w14:paraId="2FEC7067" w14:textId="77777777" w:rsidR="00396FFB" w:rsidRPr="0065574D" w:rsidRDefault="00396FFB" w:rsidP="00396FFB">
      <w:pPr>
        <w:pStyle w:val="ListBullet"/>
        <w:rPr>
          <w:rFonts w:ascii="Arial" w:hAnsi="Arial" w:cs="Arial"/>
          <w:color w:val="000000" w:themeColor="text1"/>
        </w:rPr>
      </w:pPr>
      <w:r w:rsidRPr="0065574D">
        <w:rPr>
          <w:rFonts w:ascii="Arial" w:hAnsi="Arial" w:cs="Arial"/>
          <w:color w:val="000000" w:themeColor="text1"/>
        </w:rPr>
        <w:t xml:space="preserve">Responsibility for the Health and Safety of staff and compliance with all appropriate safety risk assessments and Health and Safety legislation. </w:t>
      </w:r>
    </w:p>
    <w:p w14:paraId="1CA0F583" w14:textId="77777777" w:rsidR="00396FFB" w:rsidRPr="0065574D" w:rsidRDefault="00396FFB" w:rsidP="00396FFB">
      <w:pPr>
        <w:pStyle w:val="ListBullet"/>
        <w:rPr>
          <w:rFonts w:ascii="Arial" w:hAnsi="Arial" w:cs="Arial"/>
          <w:color w:val="000000" w:themeColor="text1"/>
        </w:rPr>
      </w:pPr>
      <w:r w:rsidRPr="0065574D">
        <w:rPr>
          <w:rFonts w:ascii="Arial" w:hAnsi="Arial" w:cs="Arial"/>
          <w:color w:val="000000" w:themeColor="text1"/>
        </w:rPr>
        <w:t xml:space="preserve">Ensuring staff comply with data protection legislation, confidentiality and information sharing po and procedures and all legislation connected to their work. </w:t>
      </w:r>
    </w:p>
    <w:p w14:paraId="65F7711D" w14:textId="77777777" w:rsidR="00396FFB" w:rsidRPr="0065574D" w:rsidRDefault="00396FFB" w:rsidP="00396FFB">
      <w:pPr>
        <w:pStyle w:val="ListBullet"/>
        <w:rPr>
          <w:rFonts w:ascii="Arial" w:hAnsi="Arial" w:cs="Arial"/>
          <w:color w:val="000000" w:themeColor="text1"/>
        </w:rPr>
      </w:pPr>
      <w:r w:rsidRPr="0065574D">
        <w:rPr>
          <w:rFonts w:ascii="Arial" w:hAnsi="Arial" w:cs="Arial"/>
          <w:color w:val="000000" w:themeColor="text1"/>
        </w:rPr>
        <w:t xml:space="preserve">Ensuring staff maintain accurate and confidential case management records and databases contribute to monitoring information for the service. </w:t>
      </w:r>
    </w:p>
    <w:p w14:paraId="60BB4D29" w14:textId="77777777" w:rsidR="00396FFB" w:rsidRPr="0065574D" w:rsidRDefault="00396FFB" w:rsidP="00396FFB">
      <w:pPr>
        <w:pStyle w:val="ListBullet"/>
        <w:numPr>
          <w:ilvl w:val="0"/>
          <w:numId w:val="0"/>
        </w:numPr>
        <w:rPr>
          <w:rFonts w:ascii="Arial" w:hAnsi="Arial" w:cs="Arial"/>
          <w:color w:val="000000" w:themeColor="text1"/>
        </w:rPr>
      </w:pPr>
    </w:p>
    <w:p w14:paraId="0C8BFFC1" w14:textId="26B80543" w:rsidR="00396FFB" w:rsidRPr="0065574D" w:rsidRDefault="00396FFB" w:rsidP="00396FFB">
      <w:pPr>
        <w:pStyle w:val="ListBullet"/>
        <w:numPr>
          <w:ilvl w:val="0"/>
          <w:numId w:val="0"/>
        </w:numPr>
        <w:rPr>
          <w:rFonts w:ascii="Arial" w:hAnsi="Arial" w:cs="Arial"/>
          <w:color w:val="000000" w:themeColor="text1"/>
        </w:rPr>
      </w:pPr>
      <w:r w:rsidRPr="0065574D">
        <w:rPr>
          <w:rFonts w:ascii="Arial" w:hAnsi="Arial" w:cs="Arial"/>
          <w:color w:val="000000" w:themeColor="text1"/>
        </w:rPr>
        <w:t>The Provider shall have in place suitable arrangements that reflect the importance of safeguarding a</w:t>
      </w:r>
      <w:r w:rsidR="001E0454" w:rsidRPr="0065574D">
        <w:rPr>
          <w:rFonts w:ascii="Arial" w:hAnsi="Arial" w:cs="Arial"/>
          <w:color w:val="000000" w:themeColor="text1"/>
        </w:rPr>
        <w:t>nd</w:t>
      </w:r>
      <w:r w:rsidRPr="0065574D">
        <w:rPr>
          <w:rFonts w:ascii="Arial" w:hAnsi="Arial" w:cs="Arial"/>
          <w:color w:val="000000" w:themeColor="text1"/>
        </w:rPr>
        <w:t xml:space="preserve"> promoting the welfare of victims including: </w:t>
      </w:r>
    </w:p>
    <w:p w14:paraId="71DF4B21" w14:textId="77777777" w:rsidR="00396FFB" w:rsidRPr="0065574D" w:rsidRDefault="00396FFB" w:rsidP="00396FFB">
      <w:pPr>
        <w:pStyle w:val="ListBullet"/>
        <w:numPr>
          <w:ilvl w:val="0"/>
          <w:numId w:val="0"/>
        </w:numPr>
        <w:rPr>
          <w:rFonts w:ascii="Arial" w:hAnsi="Arial" w:cs="Arial"/>
          <w:color w:val="000000" w:themeColor="text1"/>
        </w:rPr>
      </w:pPr>
    </w:p>
    <w:p w14:paraId="1E521DC9" w14:textId="5751E330" w:rsidR="00396FFB" w:rsidRPr="0065574D" w:rsidRDefault="00396FFB" w:rsidP="00396FFB">
      <w:pPr>
        <w:pStyle w:val="ListBullet"/>
        <w:numPr>
          <w:ilvl w:val="0"/>
          <w:numId w:val="7"/>
        </w:numPr>
        <w:rPr>
          <w:rFonts w:ascii="Arial" w:hAnsi="Arial" w:cs="Arial"/>
          <w:color w:val="000000" w:themeColor="text1"/>
        </w:rPr>
      </w:pPr>
      <w:r w:rsidRPr="0065574D">
        <w:rPr>
          <w:rFonts w:ascii="Arial" w:hAnsi="Arial" w:cs="Arial"/>
          <w:color w:val="000000" w:themeColor="text1"/>
        </w:rPr>
        <w:t xml:space="preserve">Suitably experienced and trained </w:t>
      </w:r>
      <w:r w:rsidR="00C8105D" w:rsidRPr="0065574D">
        <w:rPr>
          <w:rFonts w:ascii="Arial" w:hAnsi="Arial" w:cs="Arial"/>
          <w:color w:val="000000" w:themeColor="text1"/>
        </w:rPr>
        <w:t>s</w:t>
      </w:r>
      <w:r w:rsidRPr="0065574D">
        <w:rPr>
          <w:rFonts w:ascii="Arial" w:hAnsi="Arial" w:cs="Arial"/>
          <w:color w:val="000000" w:themeColor="text1"/>
        </w:rPr>
        <w:t>taff to deliver the</w:t>
      </w:r>
      <w:r w:rsidR="00C8105D" w:rsidRPr="0065574D">
        <w:rPr>
          <w:rFonts w:ascii="Arial" w:hAnsi="Arial" w:cs="Arial"/>
          <w:color w:val="000000" w:themeColor="text1"/>
        </w:rPr>
        <w:t xml:space="preserve"> intervention</w:t>
      </w:r>
      <w:r w:rsidRPr="0065574D">
        <w:rPr>
          <w:rFonts w:ascii="Arial" w:hAnsi="Arial" w:cs="Arial"/>
          <w:color w:val="000000" w:themeColor="text1"/>
        </w:rPr>
        <w:t xml:space="preserve">. </w:t>
      </w:r>
    </w:p>
    <w:p w14:paraId="4F4D77F8" w14:textId="77777777" w:rsidR="00396FFB" w:rsidRPr="0065574D" w:rsidRDefault="00396FFB" w:rsidP="00396FFB">
      <w:pPr>
        <w:pStyle w:val="ListBullet"/>
        <w:numPr>
          <w:ilvl w:val="0"/>
          <w:numId w:val="7"/>
        </w:numPr>
        <w:rPr>
          <w:rFonts w:ascii="Arial" w:hAnsi="Arial" w:cs="Arial"/>
          <w:color w:val="000000" w:themeColor="text1"/>
        </w:rPr>
      </w:pPr>
      <w:r w:rsidRPr="0065574D">
        <w:rPr>
          <w:rFonts w:ascii="Arial" w:hAnsi="Arial" w:cs="Arial"/>
          <w:color w:val="000000" w:themeColor="text1"/>
        </w:rPr>
        <w:t xml:space="preserve">Clear lines of accountability for safeguarding arrangements. </w:t>
      </w:r>
    </w:p>
    <w:p w14:paraId="6A0037AA" w14:textId="77777777" w:rsidR="00396FFB" w:rsidRPr="0065574D" w:rsidRDefault="00396FFB" w:rsidP="00396FFB">
      <w:pPr>
        <w:pStyle w:val="ListBullet"/>
        <w:numPr>
          <w:ilvl w:val="0"/>
          <w:numId w:val="7"/>
        </w:numPr>
        <w:rPr>
          <w:rFonts w:ascii="Arial" w:hAnsi="Arial" w:cs="Arial"/>
          <w:color w:val="000000" w:themeColor="text1"/>
        </w:rPr>
      </w:pPr>
      <w:r w:rsidRPr="0065574D">
        <w:rPr>
          <w:rFonts w:ascii="Arial" w:hAnsi="Arial" w:cs="Arial"/>
          <w:color w:val="000000" w:themeColor="text1"/>
        </w:rPr>
        <w:t xml:space="preserve">Safe recruitment, selection, training, and performance management practices for staff involved in the provision of the Services, including process for obtaining appropriate checks, including Disclosure and Baring Service (DBS) clearance. </w:t>
      </w:r>
    </w:p>
    <w:p w14:paraId="2564550B" w14:textId="77777777" w:rsidR="00396FFB" w:rsidRPr="0065574D" w:rsidRDefault="00396FFB" w:rsidP="00396FFB">
      <w:pPr>
        <w:pStyle w:val="ListBullet"/>
        <w:numPr>
          <w:ilvl w:val="0"/>
          <w:numId w:val="7"/>
        </w:numPr>
        <w:rPr>
          <w:rFonts w:ascii="Arial" w:hAnsi="Arial" w:cs="Arial"/>
          <w:color w:val="000000" w:themeColor="text1"/>
        </w:rPr>
      </w:pPr>
      <w:r w:rsidRPr="0065574D">
        <w:rPr>
          <w:rFonts w:ascii="Arial" w:hAnsi="Arial" w:cs="Arial"/>
          <w:color w:val="000000" w:themeColor="text1"/>
        </w:rPr>
        <w:t>Robust safeguarding policies and procedures.</w:t>
      </w:r>
    </w:p>
    <w:p w14:paraId="47F6372A" w14:textId="77777777" w:rsidR="00CB58CD" w:rsidRPr="0065574D" w:rsidRDefault="00CB58CD" w:rsidP="26B6DADB">
      <w:pPr>
        <w:pStyle w:val="ListBullet"/>
        <w:numPr>
          <w:ilvl w:val="0"/>
          <w:numId w:val="0"/>
        </w:numPr>
        <w:rPr>
          <w:rFonts w:ascii="Arial" w:hAnsi="Arial" w:cs="Arial"/>
          <w:color w:val="000000" w:themeColor="text1"/>
        </w:rPr>
      </w:pPr>
    </w:p>
    <w:p w14:paraId="6849AF27" w14:textId="77777777" w:rsidR="008A6C68" w:rsidRPr="0065574D" w:rsidRDefault="008A6C68" w:rsidP="00316A61">
      <w:pPr>
        <w:pStyle w:val="ListBullet"/>
        <w:numPr>
          <w:ilvl w:val="0"/>
          <w:numId w:val="0"/>
        </w:numPr>
        <w:pBdr>
          <w:bottom w:val="single" w:sz="4" w:space="1" w:color="auto"/>
        </w:pBdr>
        <w:rPr>
          <w:rFonts w:ascii="Arial" w:hAnsi="Arial" w:cs="Arial"/>
          <w:b/>
          <w:bCs/>
          <w:color w:val="000000" w:themeColor="text1"/>
        </w:rPr>
      </w:pPr>
      <w:r w:rsidRPr="0065574D">
        <w:rPr>
          <w:rFonts w:ascii="Arial" w:hAnsi="Arial" w:cs="Arial"/>
          <w:b/>
          <w:bCs/>
          <w:color w:val="000000" w:themeColor="text1"/>
        </w:rPr>
        <w:t xml:space="preserve">Location and operating hours </w:t>
      </w:r>
    </w:p>
    <w:p w14:paraId="13A4091F" w14:textId="77777777" w:rsidR="008A6C68" w:rsidRPr="0065574D" w:rsidRDefault="008A6C68" w:rsidP="008A6C68">
      <w:pPr>
        <w:pStyle w:val="ListBullet"/>
        <w:numPr>
          <w:ilvl w:val="0"/>
          <w:numId w:val="0"/>
        </w:numPr>
        <w:rPr>
          <w:rFonts w:ascii="Arial" w:hAnsi="Arial" w:cs="Arial"/>
          <w:color w:val="000000" w:themeColor="text1"/>
        </w:rPr>
      </w:pPr>
    </w:p>
    <w:p w14:paraId="31B74F8A" w14:textId="04FAE6E3" w:rsidR="006A042D" w:rsidRPr="0065574D" w:rsidRDefault="008A6C68" w:rsidP="008A6C68">
      <w:pPr>
        <w:pStyle w:val="ListBullet"/>
        <w:numPr>
          <w:ilvl w:val="0"/>
          <w:numId w:val="0"/>
        </w:numPr>
        <w:rPr>
          <w:rFonts w:ascii="Arial" w:hAnsi="Arial" w:cs="Arial"/>
          <w:color w:val="000000" w:themeColor="text1"/>
        </w:rPr>
      </w:pPr>
      <w:r w:rsidRPr="0065574D">
        <w:rPr>
          <w:rFonts w:ascii="Arial" w:hAnsi="Arial" w:cs="Arial"/>
          <w:color w:val="000000" w:themeColor="text1"/>
        </w:rPr>
        <w:t xml:space="preserve">The </w:t>
      </w:r>
      <w:r w:rsidR="00327AF9" w:rsidRPr="0065574D">
        <w:rPr>
          <w:rFonts w:ascii="Arial" w:hAnsi="Arial" w:cs="Arial"/>
          <w:color w:val="000000" w:themeColor="text1"/>
        </w:rPr>
        <w:t xml:space="preserve">intervention </w:t>
      </w:r>
      <w:r w:rsidR="00C66B15" w:rsidRPr="0065574D">
        <w:rPr>
          <w:rFonts w:ascii="Arial" w:hAnsi="Arial" w:cs="Arial"/>
          <w:color w:val="000000" w:themeColor="text1"/>
        </w:rPr>
        <w:t xml:space="preserve">is to cover </w:t>
      </w:r>
      <w:r w:rsidR="004F4E0B" w:rsidRPr="0065574D">
        <w:rPr>
          <w:rFonts w:ascii="Arial" w:hAnsi="Arial" w:cs="Arial"/>
          <w:color w:val="000000" w:themeColor="text1"/>
        </w:rPr>
        <w:t xml:space="preserve">each place in </w:t>
      </w:r>
      <w:r w:rsidR="00AD6C85" w:rsidRPr="0065574D">
        <w:rPr>
          <w:rFonts w:ascii="Arial" w:hAnsi="Arial" w:cs="Arial"/>
          <w:color w:val="000000" w:themeColor="text1"/>
        </w:rPr>
        <w:t>West Yorkshire</w:t>
      </w:r>
      <w:r w:rsidRPr="0065574D">
        <w:rPr>
          <w:rFonts w:ascii="Arial" w:hAnsi="Arial" w:cs="Arial"/>
          <w:color w:val="000000" w:themeColor="text1"/>
        </w:rPr>
        <w:t xml:space="preserve"> </w:t>
      </w:r>
      <w:r w:rsidR="004F4E0B" w:rsidRPr="0065574D">
        <w:rPr>
          <w:rFonts w:ascii="Arial" w:hAnsi="Arial" w:cs="Arial"/>
          <w:color w:val="000000" w:themeColor="text1"/>
        </w:rPr>
        <w:t xml:space="preserve">including the </w:t>
      </w:r>
      <w:r w:rsidRPr="0065574D">
        <w:rPr>
          <w:rFonts w:ascii="Arial" w:hAnsi="Arial" w:cs="Arial"/>
          <w:color w:val="000000" w:themeColor="text1"/>
        </w:rPr>
        <w:t xml:space="preserve">below local authority areas: </w:t>
      </w:r>
    </w:p>
    <w:p w14:paraId="3F0EFB1D" w14:textId="77777777" w:rsidR="006A042D" w:rsidRPr="0065574D" w:rsidRDefault="006A042D" w:rsidP="008A6C68">
      <w:pPr>
        <w:pStyle w:val="ListBullet"/>
        <w:numPr>
          <w:ilvl w:val="0"/>
          <w:numId w:val="0"/>
        </w:numPr>
        <w:rPr>
          <w:rFonts w:ascii="Arial" w:hAnsi="Arial" w:cs="Arial"/>
          <w:color w:val="000000" w:themeColor="text1"/>
        </w:rPr>
      </w:pPr>
    </w:p>
    <w:p w14:paraId="3EED95A9" w14:textId="77777777" w:rsidR="005433D2" w:rsidRPr="0065574D" w:rsidRDefault="005433D2" w:rsidP="00AA56AB">
      <w:pPr>
        <w:pStyle w:val="ListBullet"/>
        <w:numPr>
          <w:ilvl w:val="0"/>
          <w:numId w:val="9"/>
        </w:numPr>
        <w:ind w:left="714" w:hanging="357"/>
        <w:rPr>
          <w:rFonts w:ascii="Arial" w:hAnsi="Arial" w:cs="Arial"/>
          <w:color w:val="000000" w:themeColor="text1"/>
        </w:rPr>
      </w:pPr>
      <w:r w:rsidRPr="0065574D">
        <w:rPr>
          <w:rFonts w:ascii="Arial" w:hAnsi="Arial" w:cs="Arial"/>
          <w:color w:val="000000" w:themeColor="text1"/>
        </w:rPr>
        <w:t>Bradford</w:t>
      </w:r>
    </w:p>
    <w:p w14:paraId="572D5C07" w14:textId="77777777" w:rsidR="005433D2" w:rsidRPr="0065574D" w:rsidRDefault="005433D2" w:rsidP="00AA56AB">
      <w:pPr>
        <w:pStyle w:val="ListBullet"/>
        <w:numPr>
          <w:ilvl w:val="0"/>
          <w:numId w:val="9"/>
        </w:numPr>
        <w:ind w:left="714" w:hanging="357"/>
        <w:rPr>
          <w:rFonts w:ascii="Arial" w:hAnsi="Arial" w:cs="Arial"/>
          <w:color w:val="000000" w:themeColor="text1"/>
        </w:rPr>
      </w:pPr>
      <w:r w:rsidRPr="0065574D">
        <w:rPr>
          <w:rFonts w:ascii="Arial" w:hAnsi="Arial" w:cs="Arial"/>
          <w:color w:val="000000" w:themeColor="text1"/>
        </w:rPr>
        <w:t>Calderdale</w:t>
      </w:r>
    </w:p>
    <w:p w14:paraId="6AF38491" w14:textId="6BED4682" w:rsidR="0030604C" w:rsidRPr="0065574D" w:rsidRDefault="005433D2" w:rsidP="00AA56AB">
      <w:pPr>
        <w:pStyle w:val="ListBullet"/>
        <w:ind w:left="714" w:hanging="357"/>
        <w:rPr>
          <w:rFonts w:ascii="Arial" w:hAnsi="Arial" w:cs="Arial"/>
          <w:color w:val="000000" w:themeColor="text1"/>
        </w:rPr>
      </w:pPr>
      <w:r w:rsidRPr="0065574D">
        <w:rPr>
          <w:rFonts w:ascii="Arial" w:hAnsi="Arial" w:cs="Arial"/>
          <w:color w:val="000000" w:themeColor="text1"/>
        </w:rPr>
        <w:t>Kirklees</w:t>
      </w:r>
    </w:p>
    <w:p w14:paraId="7CECF745" w14:textId="2F09C371" w:rsidR="0030604C" w:rsidRPr="0065574D" w:rsidRDefault="0030604C" w:rsidP="00AA56AB">
      <w:pPr>
        <w:pStyle w:val="ListBullet"/>
        <w:ind w:left="714" w:hanging="357"/>
        <w:rPr>
          <w:rFonts w:ascii="Arial" w:hAnsi="Arial" w:cs="Arial"/>
          <w:color w:val="000000" w:themeColor="text1"/>
        </w:rPr>
      </w:pPr>
      <w:r w:rsidRPr="0065574D">
        <w:rPr>
          <w:rFonts w:ascii="Arial" w:hAnsi="Arial" w:cs="Arial"/>
          <w:color w:val="000000" w:themeColor="text1"/>
        </w:rPr>
        <w:t>Leeds</w:t>
      </w:r>
    </w:p>
    <w:p w14:paraId="7AAA83DA" w14:textId="6BA47D21" w:rsidR="0030604C" w:rsidRPr="0065574D" w:rsidRDefault="0030604C" w:rsidP="00AA56AB">
      <w:pPr>
        <w:pStyle w:val="ListBullet"/>
        <w:ind w:left="714" w:hanging="357"/>
        <w:rPr>
          <w:rFonts w:ascii="Arial" w:hAnsi="Arial" w:cs="Arial"/>
          <w:color w:val="000000" w:themeColor="text1"/>
        </w:rPr>
      </w:pPr>
      <w:r w:rsidRPr="0065574D">
        <w:rPr>
          <w:rFonts w:ascii="Arial" w:hAnsi="Arial" w:cs="Arial"/>
          <w:color w:val="000000" w:themeColor="text1"/>
        </w:rPr>
        <w:t>Wakefield</w:t>
      </w:r>
    </w:p>
    <w:p w14:paraId="3B0ED85F" w14:textId="5574B7B7" w:rsidR="0EFF867C" w:rsidRPr="0065574D" w:rsidRDefault="0EFF867C" w:rsidP="0EFF867C">
      <w:pPr>
        <w:pStyle w:val="ListBullet"/>
        <w:numPr>
          <w:ilvl w:val="0"/>
          <w:numId w:val="0"/>
        </w:numPr>
        <w:rPr>
          <w:rFonts w:ascii="Arial" w:hAnsi="Arial" w:cs="Arial"/>
          <w:color w:val="000000" w:themeColor="text1"/>
        </w:rPr>
      </w:pPr>
    </w:p>
    <w:p w14:paraId="2B484C89" w14:textId="2B42954A" w:rsidR="400CADDC" w:rsidRPr="0065574D" w:rsidRDefault="400CADDC" w:rsidP="0EFF867C">
      <w:pPr>
        <w:pStyle w:val="ListBullet"/>
        <w:numPr>
          <w:ilvl w:val="0"/>
          <w:numId w:val="0"/>
        </w:numPr>
        <w:rPr>
          <w:rFonts w:ascii="Arial" w:hAnsi="Arial" w:cs="Arial"/>
          <w:color w:val="000000" w:themeColor="text1"/>
        </w:rPr>
      </w:pPr>
      <w:r w:rsidRPr="0065574D">
        <w:rPr>
          <w:rFonts w:ascii="Arial" w:hAnsi="Arial" w:cs="Arial"/>
          <w:color w:val="000000" w:themeColor="text1"/>
        </w:rPr>
        <w:t>The operating days and hours for delivery should be flexible in order to reach as many children as possible in the settings most appropriate for them.</w:t>
      </w:r>
    </w:p>
    <w:p w14:paraId="15B34E5A" w14:textId="1B41271B" w:rsidR="002503D0" w:rsidRPr="0065574D" w:rsidRDefault="002503D0" w:rsidP="0EFF867C">
      <w:pPr>
        <w:pStyle w:val="ListBullet"/>
        <w:numPr>
          <w:ilvl w:val="0"/>
          <w:numId w:val="0"/>
        </w:numPr>
        <w:ind w:left="360"/>
        <w:rPr>
          <w:rFonts w:ascii="Arial" w:hAnsi="Arial" w:cs="Arial"/>
          <w:color w:val="000000" w:themeColor="text1"/>
        </w:rPr>
      </w:pPr>
    </w:p>
    <w:p w14:paraId="75B5B964" w14:textId="77777777" w:rsidR="002503D0" w:rsidRPr="0065574D" w:rsidRDefault="008A6C68" w:rsidP="00316A61">
      <w:pPr>
        <w:pStyle w:val="ListBullet"/>
        <w:numPr>
          <w:ilvl w:val="0"/>
          <w:numId w:val="0"/>
        </w:numPr>
        <w:pBdr>
          <w:bottom w:val="single" w:sz="4" w:space="1" w:color="auto"/>
        </w:pBdr>
        <w:rPr>
          <w:rFonts w:ascii="Arial" w:hAnsi="Arial" w:cs="Arial"/>
          <w:b/>
          <w:bCs/>
          <w:color w:val="000000" w:themeColor="text1"/>
        </w:rPr>
      </w:pPr>
      <w:r w:rsidRPr="0065574D">
        <w:rPr>
          <w:rFonts w:ascii="Arial" w:hAnsi="Arial" w:cs="Arial"/>
          <w:b/>
          <w:bCs/>
          <w:color w:val="000000" w:themeColor="text1"/>
        </w:rPr>
        <w:t xml:space="preserve">Monitoring and reporting requirements </w:t>
      </w:r>
    </w:p>
    <w:p w14:paraId="371C89FC" w14:textId="77777777" w:rsidR="002503D0" w:rsidRPr="0065574D" w:rsidRDefault="002503D0" w:rsidP="008A6C68">
      <w:pPr>
        <w:pStyle w:val="ListBullet"/>
        <w:numPr>
          <w:ilvl w:val="0"/>
          <w:numId w:val="0"/>
        </w:numPr>
        <w:rPr>
          <w:rFonts w:ascii="Arial" w:hAnsi="Arial" w:cs="Arial"/>
          <w:color w:val="000000" w:themeColor="text1"/>
        </w:rPr>
      </w:pPr>
    </w:p>
    <w:p w14:paraId="20091749" w14:textId="63E46F75" w:rsidR="01CE05FC" w:rsidRPr="0065574D" w:rsidRDefault="01CE05FC" w:rsidP="0EFF867C">
      <w:pPr>
        <w:pStyle w:val="ListBullet"/>
        <w:numPr>
          <w:ilvl w:val="0"/>
          <w:numId w:val="0"/>
        </w:numPr>
        <w:rPr>
          <w:rFonts w:ascii="Arial" w:hAnsi="Arial" w:cs="Arial"/>
          <w:color w:val="000000" w:themeColor="text1"/>
        </w:rPr>
      </w:pPr>
      <w:r w:rsidRPr="0065574D">
        <w:rPr>
          <w:rFonts w:ascii="Arial" w:hAnsi="Arial" w:cs="Arial"/>
          <w:color w:val="000000" w:themeColor="text1"/>
        </w:rPr>
        <w:t>The Virtual Decisions programme is evaluated internally by the Violence Reduction Partnership</w:t>
      </w:r>
      <w:r w:rsidR="00346FE1" w:rsidRPr="0065574D">
        <w:rPr>
          <w:rFonts w:ascii="Arial" w:hAnsi="Arial" w:cs="Arial"/>
          <w:color w:val="000000" w:themeColor="text1"/>
        </w:rPr>
        <w:t xml:space="preserve"> </w:t>
      </w:r>
      <w:r w:rsidR="001F36FF" w:rsidRPr="0065574D">
        <w:rPr>
          <w:rFonts w:ascii="Arial" w:hAnsi="Arial" w:cs="Arial"/>
          <w:color w:val="000000" w:themeColor="text1"/>
        </w:rPr>
        <w:t>monthly</w:t>
      </w:r>
      <w:r w:rsidRPr="0065574D">
        <w:rPr>
          <w:rFonts w:ascii="Arial" w:hAnsi="Arial" w:cs="Arial"/>
          <w:color w:val="000000" w:themeColor="text1"/>
        </w:rPr>
        <w:t xml:space="preserve">. </w:t>
      </w:r>
      <w:r w:rsidR="00A77130" w:rsidRPr="0065574D">
        <w:rPr>
          <w:rFonts w:ascii="Arial" w:hAnsi="Arial" w:cs="Arial"/>
          <w:color w:val="000000" w:themeColor="text1"/>
        </w:rPr>
        <w:t xml:space="preserve">The </w:t>
      </w:r>
      <w:r w:rsidR="00493F15" w:rsidRPr="0065574D">
        <w:rPr>
          <w:rFonts w:ascii="Arial" w:hAnsi="Arial" w:cs="Arial"/>
          <w:color w:val="000000" w:themeColor="text1"/>
        </w:rPr>
        <w:t xml:space="preserve">facilitators from the </w:t>
      </w:r>
      <w:r w:rsidR="00A77130" w:rsidRPr="0065574D">
        <w:rPr>
          <w:rFonts w:ascii="Arial" w:hAnsi="Arial" w:cs="Arial"/>
          <w:color w:val="000000" w:themeColor="text1"/>
        </w:rPr>
        <w:t>delivery partner</w:t>
      </w:r>
      <w:r w:rsidR="41964890" w:rsidRPr="0065574D">
        <w:rPr>
          <w:rFonts w:ascii="Arial" w:hAnsi="Arial" w:cs="Arial"/>
          <w:color w:val="000000" w:themeColor="text1"/>
        </w:rPr>
        <w:t xml:space="preserve"> will be required to submit </w:t>
      </w:r>
      <w:r w:rsidR="00A606AA" w:rsidRPr="0065574D">
        <w:rPr>
          <w:rFonts w:ascii="Arial" w:hAnsi="Arial" w:cs="Arial"/>
          <w:color w:val="000000" w:themeColor="text1"/>
        </w:rPr>
        <w:t xml:space="preserve">timely </w:t>
      </w:r>
      <w:r w:rsidR="41964890" w:rsidRPr="0065574D">
        <w:rPr>
          <w:rFonts w:ascii="Arial" w:hAnsi="Arial" w:cs="Arial"/>
          <w:color w:val="000000" w:themeColor="text1"/>
        </w:rPr>
        <w:t>monitoring information for each individual session</w:t>
      </w:r>
      <w:r w:rsidR="008247EE" w:rsidRPr="0065574D">
        <w:rPr>
          <w:rFonts w:ascii="Arial" w:hAnsi="Arial" w:cs="Arial"/>
          <w:color w:val="000000" w:themeColor="text1"/>
        </w:rPr>
        <w:t xml:space="preserve"> they deliver</w:t>
      </w:r>
      <w:r w:rsidR="007725EC" w:rsidRPr="0065574D">
        <w:rPr>
          <w:rFonts w:ascii="Arial" w:hAnsi="Arial" w:cs="Arial"/>
          <w:color w:val="000000" w:themeColor="text1"/>
        </w:rPr>
        <w:t xml:space="preserve">. They will also need to </w:t>
      </w:r>
      <w:r w:rsidR="41964890" w:rsidRPr="0065574D">
        <w:rPr>
          <w:rFonts w:ascii="Arial" w:hAnsi="Arial" w:cs="Arial"/>
          <w:color w:val="000000" w:themeColor="text1"/>
        </w:rPr>
        <w:t>facilitate two evaluation surveys</w:t>
      </w:r>
      <w:r w:rsidR="001F36FF" w:rsidRPr="0065574D">
        <w:rPr>
          <w:rFonts w:ascii="Arial" w:hAnsi="Arial" w:cs="Arial"/>
          <w:color w:val="000000" w:themeColor="text1"/>
        </w:rPr>
        <w:t>, to be completed by each</w:t>
      </w:r>
      <w:r w:rsidR="41964890" w:rsidRPr="0065574D">
        <w:rPr>
          <w:rFonts w:ascii="Arial" w:hAnsi="Arial" w:cs="Arial"/>
          <w:color w:val="000000" w:themeColor="text1"/>
        </w:rPr>
        <w:t xml:space="preserve"> child</w:t>
      </w:r>
      <w:r w:rsidR="001F36FF" w:rsidRPr="0065574D">
        <w:rPr>
          <w:rFonts w:ascii="Arial" w:hAnsi="Arial" w:cs="Arial"/>
          <w:color w:val="000000" w:themeColor="text1"/>
        </w:rPr>
        <w:t xml:space="preserve"> </w:t>
      </w:r>
      <w:r w:rsidR="41964890" w:rsidRPr="0065574D">
        <w:rPr>
          <w:rFonts w:ascii="Arial" w:hAnsi="Arial" w:cs="Arial"/>
          <w:color w:val="000000" w:themeColor="text1"/>
        </w:rPr>
        <w:t xml:space="preserve">taking part in </w:t>
      </w:r>
      <w:r w:rsidR="001F36FF" w:rsidRPr="0065574D">
        <w:rPr>
          <w:rFonts w:ascii="Arial" w:hAnsi="Arial" w:cs="Arial"/>
          <w:color w:val="000000" w:themeColor="text1"/>
        </w:rPr>
        <w:t>a</w:t>
      </w:r>
      <w:r w:rsidR="41964890" w:rsidRPr="0065574D">
        <w:rPr>
          <w:rFonts w:ascii="Arial" w:hAnsi="Arial" w:cs="Arial"/>
          <w:color w:val="000000" w:themeColor="text1"/>
        </w:rPr>
        <w:t xml:space="preserve"> session.</w:t>
      </w:r>
    </w:p>
    <w:p w14:paraId="7ADE5955" w14:textId="77777777" w:rsidR="00346FE1" w:rsidRPr="0065574D" w:rsidRDefault="00346FE1" w:rsidP="0EFF867C">
      <w:pPr>
        <w:pStyle w:val="ListBullet"/>
        <w:numPr>
          <w:ilvl w:val="0"/>
          <w:numId w:val="0"/>
        </w:numPr>
        <w:rPr>
          <w:rFonts w:ascii="Arial" w:hAnsi="Arial" w:cs="Arial"/>
          <w:color w:val="000000" w:themeColor="text1"/>
        </w:rPr>
      </w:pPr>
    </w:p>
    <w:p w14:paraId="08B68CF5" w14:textId="740BC0F7" w:rsidR="00346FE1" w:rsidRPr="0065574D" w:rsidRDefault="007F43E8" w:rsidP="00346FE1">
      <w:pPr>
        <w:pStyle w:val="ListBullet"/>
        <w:numPr>
          <w:ilvl w:val="0"/>
          <w:numId w:val="0"/>
        </w:numPr>
        <w:rPr>
          <w:rFonts w:ascii="Arial" w:hAnsi="Arial" w:cs="Arial"/>
          <w:color w:val="000000" w:themeColor="text1"/>
        </w:rPr>
      </w:pPr>
      <w:r w:rsidRPr="0065574D">
        <w:rPr>
          <w:rFonts w:ascii="Arial" w:hAnsi="Arial" w:cs="Arial"/>
          <w:color w:val="000000" w:themeColor="text1"/>
        </w:rPr>
        <w:t xml:space="preserve">In addition to the required monitoring set out by </w:t>
      </w:r>
      <w:r w:rsidR="0021455F" w:rsidRPr="0065574D">
        <w:rPr>
          <w:rFonts w:ascii="Arial" w:hAnsi="Arial" w:cs="Arial"/>
          <w:color w:val="000000" w:themeColor="text1"/>
        </w:rPr>
        <w:t>Violence Reduction Partnership</w:t>
      </w:r>
      <w:r w:rsidR="000E4619" w:rsidRPr="0065574D">
        <w:rPr>
          <w:rFonts w:ascii="Arial" w:hAnsi="Arial" w:cs="Arial"/>
          <w:color w:val="000000" w:themeColor="text1"/>
        </w:rPr>
        <w:t xml:space="preserve">, we require quarterly </w:t>
      </w:r>
      <w:r w:rsidR="00DF0746" w:rsidRPr="0065574D">
        <w:rPr>
          <w:rFonts w:ascii="Arial" w:hAnsi="Arial" w:cs="Arial"/>
          <w:color w:val="000000" w:themeColor="text1"/>
        </w:rPr>
        <w:t xml:space="preserve">updates on intervention delivery and </w:t>
      </w:r>
      <w:r w:rsidR="000B4C43" w:rsidRPr="0065574D">
        <w:rPr>
          <w:rFonts w:ascii="Arial" w:hAnsi="Arial" w:cs="Arial"/>
          <w:color w:val="000000" w:themeColor="text1"/>
        </w:rPr>
        <w:t xml:space="preserve">financial reporting </w:t>
      </w:r>
      <w:r w:rsidR="0021455F" w:rsidRPr="0065574D">
        <w:rPr>
          <w:rFonts w:ascii="Arial" w:hAnsi="Arial" w:cs="Arial"/>
          <w:color w:val="000000" w:themeColor="text1"/>
        </w:rPr>
        <w:t xml:space="preserve"> </w:t>
      </w:r>
    </w:p>
    <w:p w14:paraId="6783A07E" w14:textId="6A754BEF" w:rsidR="0EFF867C" w:rsidRPr="0065574D" w:rsidRDefault="0EFF867C" w:rsidP="0EFF867C">
      <w:pPr>
        <w:pStyle w:val="ListBullet"/>
        <w:numPr>
          <w:ilvl w:val="0"/>
          <w:numId w:val="0"/>
        </w:numPr>
        <w:rPr>
          <w:rFonts w:ascii="Arial" w:hAnsi="Arial" w:cs="Arial"/>
          <w:color w:val="000000" w:themeColor="text1"/>
        </w:rPr>
      </w:pPr>
    </w:p>
    <w:p w14:paraId="30EA88A3" w14:textId="5A965B87" w:rsidR="00B113AE" w:rsidRPr="0065574D" w:rsidRDefault="00B113AE" w:rsidP="26B6DADB">
      <w:pPr>
        <w:pStyle w:val="ListBullet"/>
        <w:numPr>
          <w:ilvl w:val="0"/>
          <w:numId w:val="0"/>
        </w:numPr>
        <w:rPr>
          <w:rFonts w:ascii="Arial" w:hAnsi="Arial" w:cs="Arial"/>
          <w:color w:val="000000" w:themeColor="text1"/>
        </w:rPr>
      </w:pPr>
      <w:r w:rsidRPr="0065574D">
        <w:rPr>
          <w:rFonts w:ascii="Arial" w:hAnsi="Arial" w:cs="Arial"/>
          <w:color w:val="000000" w:themeColor="text1"/>
        </w:rPr>
        <w:t>Monthly</w:t>
      </w:r>
      <w:r w:rsidR="00512184" w:rsidRPr="0065574D">
        <w:rPr>
          <w:rFonts w:ascii="Arial" w:hAnsi="Arial" w:cs="Arial"/>
          <w:color w:val="000000" w:themeColor="text1"/>
        </w:rPr>
        <w:t xml:space="preserve"> </w:t>
      </w:r>
      <w:r w:rsidR="00097369" w:rsidRPr="0065574D">
        <w:rPr>
          <w:rFonts w:ascii="Arial" w:hAnsi="Arial" w:cs="Arial"/>
          <w:color w:val="000000" w:themeColor="text1"/>
        </w:rPr>
        <w:t>(</w:t>
      </w:r>
      <w:r w:rsidR="00EA19CA" w:rsidRPr="0065574D">
        <w:rPr>
          <w:rFonts w:ascii="Arial" w:hAnsi="Arial" w:cs="Arial"/>
          <w:color w:val="000000" w:themeColor="text1"/>
        </w:rPr>
        <w:t>using online facility provided)</w:t>
      </w:r>
      <w:r w:rsidR="00512184" w:rsidRPr="0065574D">
        <w:rPr>
          <w:rFonts w:ascii="Arial" w:hAnsi="Arial" w:cs="Arial"/>
          <w:color w:val="000000" w:themeColor="text1"/>
        </w:rPr>
        <w:t>:</w:t>
      </w:r>
    </w:p>
    <w:p w14:paraId="6931A53D" w14:textId="107BAE19" w:rsidR="00097369" w:rsidRPr="0065574D" w:rsidRDefault="00097369" w:rsidP="00097369">
      <w:pPr>
        <w:pStyle w:val="ListBullet"/>
        <w:numPr>
          <w:ilvl w:val="0"/>
          <w:numId w:val="0"/>
        </w:numPr>
        <w:rPr>
          <w:rFonts w:ascii="Arial" w:hAnsi="Arial" w:cs="Arial"/>
          <w:color w:val="000000" w:themeColor="text1"/>
        </w:rPr>
      </w:pPr>
    </w:p>
    <w:p w14:paraId="364F35CE" w14:textId="7A402E1A" w:rsidR="00A9220B" w:rsidRPr="0065574D" w:rsidRDefault="00A9220B" w:rsidP="00097369">
      <w:pPr>
        <w:pStyle w:val="ListBullet"/>
        <w:numPr>
          <w:ilvl w:val="0"/>
          <w:numId w:val="0"/>
        </w:numPr>
        <w:rPr>
          <w:rFonts w:ascii="Arial" w:hAnsi="Arial" w:cs="Arial"/>
          <w:color w:val="000000" w:themeColor="text1"/>
        </w:rPr>
      </w:pPr>
      <w:r w:rsidRPr="0065574D">
        <w:rPr>
          <w:rFonts w:ascii="Arial" w:hAnsi="Arial" w:cs="Arial"/>
          <w:color w:val="000000" w:themeColor="text1"/>
        </w:rPr>
        <w:t>Facilitator:</w:t>
      </w:r>
    </w:p>
    <w:p w14:paraId="309CFCA3" w14:textId="77777777" w:rsidR="00097369" w:rsidRPr="0065574D" w:rsidRDefault="00097369" w:rsidP="00097369">
      <w:pPr>
        <w:pStyle w:val="ListBullet"/>
        <w:rPr>
          <w:rFonts w:ascii="Arial" w:hAnsi="Arial" w:cs="Arial"/>
          <w:color w:val="000000" w:themeColor="text1"/>
        </w:rPr>
      </w:pPr>
      <w:r w:rsidRPr="0065574D">
        <w:rPr>
          <w:rFonts w:ascii="Arial" w:hAnsi="Arial" w:cs="Arial"/>
          <w:color w:val="000000" w:themeColor="text1"/>
        </w:rPr>
        <w:t xml:space="preserve">Number of children taking part in the session </w:t>
      </w:r>
    </w:p>
    <w:p w14:paraId="1194CD23" w14:textId="77777777" w:rsidR="00097369" w:rsidRPr="0065574D" w:rsidRDefault="00097369" w:rsidP="00097369">
      <w:pPr>
        <w:pStyle w:val="ListBullet"/>
        <w:rPr>
          <w:rFonts w:ascii="Arial" w:hAnsi="Arial" w:cs="Arial"/>
          <w:color w:val="000000" w:themeColor="text1"/>
        </w:rPr>
      </w:pPr>
      <w:r w:rsidRPr="0065574D">
        <w:rPr>
          <w:rFonts w:ascii="Arial" w:hAnsi="Arial" w:cs="Arial"/>
          <w:color w:val="000000" w:themeColor="text1"/>
        </w:rPr>
        <w:t xml:space="preserve">Ages of the children taking part in the session </w:t>
      </w:r>
    </w:p>
    <w:p w14:paraId="148E7BFA" w14:textId="77777777" w:rsidR="00097369" w:rsidRPr="0065574D" w:rsidRDefault="00097369" w:rsidP="00097369">
      <w:pPr>
        <w:pStyle w:val="ListBullet"/>
        <w:rPr>
          <w:rFonts w:ascii="Arial" w:hAnsi="Arial" w:cs="Arial"/>
          <w:color w:val="000000" w:themeColor="text1"/>
        </w:rPr>
      </w:pPr>
      <w:r w:rsidRPr="0065574D">
        <w:rPr>
          <w:rFonts w:ascii="Arial" w:hAnsi="Arial" w:cs="Arial"/>
          <w:color w:val="000000" w:themeColor="text1"/>
        </w:rPr>
        <w:t>Gender of the children taking in the session</w:t>
      </w:r>
    </w:p>
    <w:p w14:paraId="5977A579" w14:textId="38A8D851" w:rsidR="003B7F3E" w:rsidRPr="0065574D" w:rsidRDefault="0009152B" w:rsidP="00097369">
      <w:pPr>
        <w:pStyle w:val="ListBullet"/>
        <w:rPr>
          <w:rFonts w:ascii="Arial" w:hAnsi="Arial" w:cs="Arial"/>
          <w:color w:val="000000" w:themeColor="text1"/>
        </w:rPr>
      </w:pPr>
      <w:r w:rsidRPr="0065574D">
        <w:rPr>
          <w:rFonts w:ascii="Arial" w:hAnsi="Arial" w:cs="Arial"/>
          <w:color w:val="000000" w:themeColor="text1"/>
        </w:rPr>
        <w:t>Perceived impact</w:t>
      </w:r>
    </w:p>
    <w:p w14:paraId="22DA7E78" w14:textId="77777777" w:rsidR="00A9220B" w:rsidRPr="0065574D" w:rsidRDefault="00A9220B" w:rsidP="00A9220B">
      <w:pPr>
        <w:pStyle w:val="ListBullet"/>
        <w:numPr>
          <w:ilvl w:val="0"/>
          <w:numId w:val="0"/>
        </w:numPr>
        <w:rPr>
          <w:rFonts w:ascii="Arial" w:hAnsi="Arial" w:cs="Arial"/>
          <w:color w:val="000000" w:themeColor="text1"/>
        </w:rPr>
      </w:pPr>
    </w:p>
    <w:p w14:paraId="31E1A3CA" w14:textId="63C5C22D" w:rsidR="00A9220B" w:rsidRPr="0065574D" w:rsidRDefault="00A9220B" w:rsidP="00A9220B">
      <w:pPr>
        <w:pStyle w:val="ListBullet"/>
        <w:numPr>
          <w:ilvl w:val="0"/>
          <w:numId w:val="0"/>
        </w:numPr>
        <w:rPr>
          <w:rFonts w:ascii="Arial" w:hAnsi="Arial" w:cs="Arial"/>
          <w:color w:val="000000" w:themeColor="text1"/>
        </w:rPr>
      </w:pPr>
      <w:r w:rsidRPr="0065574D">
        <w:rPr>
          <w:rFonts w:ascii="Arial" w:hAnsi="Arial" w:cs="Arial"/>
          <w:color w:val="000000" w:themeColor="text1"/>
        </w:rPr>
        <w:t>Participants</w:t>
      </w:r>
    </w:p>
    <w:p w14:paraId="73912FEF" w14:textId="7464DC12" w:rsidR="00A9220B" w:rsidRPr="0065574D" w:rsidRDefault="002305EE" w:rsidP="000E4F0C">
      <w:pPr>
        <w:pStyle w:val="ListBullet"/>
        <w:numPr>
          <w:ilvl w:val="0"/>
          <w:numId w:val="16"/>
        </w:numPr>
        <w:ind w:left="426" w:hanging="426"/>
        <w:rPr>
          <w:rFonts w:ascii="Arial" w:hAnsi="Arial" w:cs="Arial"/>
          <w:color w:val="000000" w:themeColor="text1"/>
        </w:rPr>
      </w:pPr>
      <w:r w:rsidRPr="0065574D">
        <w:rPr>
          <w:rFonts w:ascii="Arial" w:hAnsi="Arial" w:cs="Arial"/>
          <w:color w:val="000000" w:themeColor="text1"/>
        </w:rPr>
        <w:t>Pre-intervention survey</w:t>
      </w:r>
    </w:p>
    <w:p w14:paraId="3DFD5DC7" w14:textId="10C4459B" w:rsidR="002305EE" w:rsidRPr="0065574D" w:rsidRDefault="002305EE" w:rsidP="000E4F0C">
      <w:pPr>
        <w:pStyle w:val="ListBullet"/>
        <w:numPr>
          <w:ilvl w:val="0"/>
          <w:numId w:val="16"/>
        </w:numPr>
        <w:ind w:left="426" w:hanging="426"/>
        <w:rPr>
          <w:rFonts w:ascii="Arial" w:hAnsi="Arial" w:cs="Arial"/>
          <w:color w:val="000000" w:themeColor="text1"/>
        </w:rPr>
      </w:pPr>
      <w:r w:rsidRPr="0065574D">
        <w:rPr>
          <w:rFonts w:ascii="Arial" w:hAnsi="Arial" w:cs="Arial"/>
          <w:color w:val="000000" w:themeColor="text1"/>
        </w:rPr>
        <w:t>Post-intervention survey</w:t>
      </w:r>
    </w:p>
    <w:p w14:paraId="28A6DA48" w14:textId="77777777" w:rsidR="008F0960" w:rsidRPr="0065574D" w:rsidRDefault="008F0960" w:rsidP="26B6DADB">
      <w:pPr>
        <w:pStyle w:val="ListBullet"/>
        <w:numPr>
          <w:ilvl w:val="0"/>
          <w:numId w:val="0"/>
        </w:numPr>
        <w:rPr>
          <w:rFonts w:ascii="Arial" w:hAnsi="Arial" w:cs="Arial"/>
          <w:color w:val="000000" w:themeColor="text1"/>
        </w:rPr>
      </w:pPr>
    </w:p>
    <w:p w14:paraId="64C66262" w14:textId="02C725B6" w:rsidR="00FB4CC6" w:rsidRPr="0065574D" w:rsidRDefault="00FB4CC6" w:rsidP="26B6DADB">
      <w:pPr>
        <w:pStyle w:val="ListBullet"/>
        <w:numPr>
          <w:ilvl w:val="0"/>
          <w:numId w:val="0"/>
        </w:numPr>
        <w:rPr>
          <w:rFonts w:ascii="Arial" w:hAnsi="Arial" w:cs="Arial"/>
          <w:color w:val="000000" w:themeColor="text1"/>
        </w:rPr>
      </w:pPr>
      <w:r w:rsidRPr="0065574D">
        <w:rPr>
          <w:rFonts w:ascii="Arial" w:hAnsi="Arial" w:cs="Arial"/>
          <w:color w:val="000000" w:themeColor="text1"/>
        </w:rPr>
        <w:t>Quarterly:</w:t>
      </w:r>
    </w:p>
    <w:p w14:paraId="793B7D41" w14:textId="49B956E8" w:rsidR="00887E3C" w:rsidRPr="0065574D" w:rsidRDefault="00887E3C" w:rsidP="00887E3C">
      <w:pPr>
        <w:pStyle w:val="ListBullet"/>
        <w:numPr>
          <w:ilvl w:val="0"/>
          <w:numId w:val="17"/>
        </w:numPr>
        <w:rPr>
          <w:rFonts w:ascii="Arial" w:hAnsi="Arial" w:cs="Arial"/>
          <w:color w:val="000000" w:themeColor="text1"/>
        </w:rPr>
      </w:pPr>
      <w:r w:rsidRPr="0065574D">
        <w:rPr>
          <w:rFonts w:ascii="Arial" w:hAnsi="Arial" w:cs="Arial"/>
          <w:color w:val="000000" w:themeColor="text1"/>
        </w:rPr>
        <w:t>Financial monitoring</w:t>
      </w:r>
    </w:p>
    <w:p w14:paraId="709A62FD" w14:textId="5BCA2147" w:rsidR="00887E3C" w:rsidRPr="0065574D" w:rsidRDefault="00887E3C" w:rsidP="00887E3C">
      <w:pPr>
        <w:pStyle w:val="ListBullet"/>
        <w:numPr>
          <w:ilvl w:val="0"/>
          <w:numId w:val="17"/>
        </w:numPr>
        <w:rPr>
          <w:rFonts w:ascii="Arial" w:hAnsi="Arial" w:cs="Arial"/>
          <w:color w:val="000000" w:themeColor="text1"/>
        </w:rPr>
      </w:pPr>
      <w:r w:rsidRPr="0065574D">
        <w:rPr>
          <w:rFonts w:ascii="Arial" w:hAnsi="Arial" w:cs="Arial"/>
          <w:color w:val="000000" w:themeColor="text1"/>
        </w:rPr>
        <w:t>Qualitative narrative report</w:t>
      </w:r>
    </w:p>
    <w:p w14:paraId="60294A2F" w14:textId="0619675F" w:rsidR="008F0960" w:rsidRPr="0065574D" w:rsidRDefault="008F0960" w:rsidP="008A6C68">
      <w:pPr>
        <w:pStyle w:val="ListBullet"/>
        <w:numPr>
          <w:ilvl w:val="0"/>
          <w:numId w:val="0"/>
        </w:numPr>
        <w:rPr>
          <w:rFonts w:ascii="Arial" w:hAnsi="Arial" w:cs="Arial"/>
          <w:color w:val="000000" w:themeColor="text1"/>
        </w:rPr>
      </w:pPr>
    </w:p>
    <w:p w14:paraId="6B630606" w14:textId="793239A7" w:rsidR="005D2A6C" w:rsidRPr="0065574D" w:rsidRDefault="006A7532" w:rsidP="26B6DADB">
      <w:pPr>
        <w:pStyle w:val="ListBullet"/>
        <w:numPr>
          <w:ilvl w:val="0"/>
          <w:numId w:val="0"/>
        </w:numPr>
        <w:rPr>
          <w:rFonts w:ascii="Arial" w:hAnsi="Arial" w:cs="Arial"/>
          <w:color w:val="000000" w:themeColor="text1"/>
        </w:rPr>
      </w:pPr>
      <w:r w:rsidRPr="0065574D">
        <w:rPr>
          <w:rFonts w:ascii="Arial" w:hAnsi="Arial" w:cs="Arial"/>
          <w:color w:val="000000" w:themeColor="text1"/>
        </w:rPr>
        <w:t xml:space="preserve">Staff from the </w:t>
      </w:r>
      <w:r w:rsidR="0030604C" w:rsidRPr="0065574D">
        <w:rPr>
          <w:rFonts w:ascii="Arial" w:hAnsi="Arial" w:cs="Arial"/>
          <w:color w:val="000000" w:themeColor="text1"/>
        </w:rPr>
        <w:t>West Yorkshire</w:t>
      </w:r>
      <w:r w:rsidR="008A6C68" w:rsidRPr="0065574D">
        <w:rPr>
          <w:rFonts w:ascii="Arial" w:hAnsi="Arial" w:cs="Arial"/>
          <w:color w:val="000000" w:themeColor="text1"/>
        </w:rPr>
        <w:t xml:space="preserve"> </w:t>
      </w:r>
      <w:r w:rsidR="007F1ED0" w:rsidRPr="0065574D">
        <w:rPr>
          <w:rFonts w:ascii="Arial" w:hAnsi="Arial" w:cs="Arial"/>
          <w:color w:val="000000" w:themeColor="text1"/>
        </w:rPr>
        <w:t xml:space="preserve">Violence Reduction Partnership </w:t>
      </w:r>
      <w:r w:rsidR="00D74895" w:rsidRPr="0065574D">
        <w:rPr>
          <w:rFonts w:ascii="Arial" w:hAnsi="Arial" w:cs="Arial"/>
          <w:color w:val="000000" w:themeColor="text1"/>
        </w:rPr>
        <w:t>team</w:t>
      </w:r>
      <w:r w:rsidR="008A6C68" w:rsidRPr="0065574D">
        <w:rPr>
          <w:rFonts w:ascii="Arial" w:hAnsi="Arial" w:cs="Arial"/>
          <w:color w:val="000000" w:themeColor="text1"/>
        </w:rPr>
        <w:t xml:space="preserve"> will meet formally with the Service Provider on a quarterly basis to review reports and data, monitor delivery, and compliance against the grant agreement. The meetings will afford bo</w:t>
      </w:r>
      <w:r w:rsidR="005D2A6C" w:rsidRPr="0065574D">
        <w:rPr>
          <w:rFonts w:ascii="Arial" w:hAnsi="Arial" w:cs="Arial"/>
          <w:color w:val="000000" w:themeColor="text1"/>
        </w:rPr>
        <w:t>th</w:t>
      </w:r>
      <w:r w:rsidR="008A6C68" w:rsidRPr="0065574D">
        <w:rPr>
          <w:rFonts w:ascii="Arial" w:hAnsi="Arial" w:cs="Arial"/>
          <w:color w:val="000000" w:themeColor="text1"/>
        </w:rPr>
        <w:t xml:space="preserve"> parties the opportunity to raise issues for discussion, clarification and provide feedback. There </w:t>
      </w:r>
      <w:r w:rsidR="007054BC" w:rsidRPr="0065574D">
        <w:rPr>
          <w:rFonts w:ascii="Arial" w:hAnsi="Arial" w:cs="Arial"/>
          <w:color w:val="000000" w:themeColor="text1"/>
        </w:rPr>
        <w:t>shall be</w:t>
      </w:r>
      <w:r w:rsidR="008A6C68" w:rsidRPr="0065574D">
        <w:rPr>
          <w:rFonts w:ascii="Arial" w:hAnsi="Arial" w:cs="Arial"/>
          <w:color w:val="000000" w:themeColor="text1"/>
        </w:rPr>
        <w:t xml:space="preserve"> ongoing open discussions between the Commissioners and Service Provider to ensure effecti</w:t>
      </w:r>
      <w:r w:rsidR="005D2A6C" w:rsidRPr="0065574D">
        <w:rPr>
          <w:rFonts w:ascii="Arial" w:hAnsi="Arial" w:cs="Arial"/>
          <w:color w:val="000000" w:themeColor="text1"/>
        </w:rPr>
        <w:t>ve</w:t>
      </w:r>
      <w:r w:rsidR="008A6C68" w:rsidRPr="0065574D">
        <w:rPr>
          <w:rFonts w:ascii="Arial" w:hAnsi="Arial" w:cs="Arial"/>
          <w:color w:val="000000" w:themeColor="text1"/>
        </w:rPr>
        <w:t xml:space="preserve"> delivery of the service. </w:t>
      </w:r>
    </w:p>
    <w:p w14:paraId="69A5B8CB" w14:textId="2A5BF53A" w:rsidR="005D2A6C" w:rsidRPr="0065574D" w:rsidRDefault="00316A61" w:rsidP="00316A61">
      <w:pPr>
        <w:pStyle w:val="ListBullet"/>
        <w:numPr>
          <w:ilvl w:val="0"/>
          <w:numId w:val="0"/>
        </w:numPr>
        <w:pBdr>
          <w:bottom w:val="single" w:sz="4" w:space="1" w:color="auto"/>
        </w:pBdr>
        <w:rPr>
          <w:rFonts w:ascii="Arial" w:hAnsi="Arial" w:cs="Arial"/>
          <w:b/>
          <w:bCs/>
          <w:color w:val="000000" w:themeColor="text1"/>
        </w:rPr>
      </w:pPr>
      <w:r w:rsidRPr="0065574D">
        <w:rPr>
          <w:rFonts w:ascii="Arial" w:hAnsi="Arial" w:cs="Arial"/>
          <w:b/>
          <w:bCs/>
          <w:color w:val="000000" w:themeColor="text1"/>
        </w:rPr>
        <w:lastRenderedPageBreak/>
        <w:t xml:space="preserve">Budget and Agreement </w:t>
      </w:r>
    </w:p>
    <w:p w14:paraId="7D648EC0" w14:textId="77777777" w:rsidR="005D2A6C" w:rsidRPr="0065574D" w:rsidRDefault="005D2A6C" w:rsidP="008A6C68">
      <w:pPr>
        <w:pStyle w:val="ListBullet"/>
        <w:numPr>
          <w:ilvl w:val="0"/>
          <w:numId w:val="0"/>
        </w:numPr>
        <w:rPr>
          <w:rFonts w:ascii="Arial" w:hAnsi="Arial" w:cs="Arial"/>
          <w:color w:val="000000" w:themeColor="text1"/>
        </w:rPr>
      </w:pPr>
    </w:p>
    <w:p w14:paraId="4FE10BE7" w14:textId="6001DAED" w:rsidR="005D2A6C" w:rsidRPr="0065574D" w:rsidRDefault="008A6C68" w:rsidP="008A6C68">
      <w:pPr>
        <w:pStyle w:val="ListBullet"/>
        <w:numPr>
          <w:ilvl w:val="0"/>
          <w:numId w:val="0"/>
        </w:numPr>
        <w:rPr>
          <w:rFonts w:ascii="Arial" w:hAnsi="Arial" w:cs="Arial"/>
          <w:color w:val="000000" w:themeColor="text1"/>
        </w:rPr>
      </w:pPr>
      <w:r w:rsidRPr="0065574D">
        <w:rPr>
          <w:rFonts w:ascii="Arial" w:hAnsi="Arial" w:cs="Arial"/>
          <w:color w:val="000000" w:themeColor="text1"/>
        </w:rPr>
        <w:t xml:space="preserve">As a minimum, the </w:t>
      </w:r>
      <w:r w:rsidR="00BC15CC" w:rsidRPr="0065574D">
        <w:rPr>
          <w:rFonts w:ascii="Arial" w:hAnsi="Arial" w:cs="Arial"/>
          <w:color w:val="000000" w:themeColor="text1"/>
        </w:rPr>
        <w:t xml:space="preserve">Virtual </w:t>
      </w:r>
      <w:r w:rsidR="000E2233" w:rsidRPr="0065574D">
        <w:rPr>
          <w:rFonts w:ascii="Arial" w:hAnsi="Arial" w:cs="Arial"/>
          <w:color w:val="000000" w:themeColor="text1"/>
        </w:rPr>
        <w:t>Decisions</w:t>
      </w:r>
      <w:r w:rsidR="00BC15CC" w:rsidRPr="0065574D">
        <w:rPr>
          <w:rFonts w:ascii="Arial" w:hAnsi="Arial" w:cs="Arial"/>
          <w:color w:val="000000" w:themeColor="text1"/>
        </w:rPr>
        <w:t xml:space="preserve"> </w:t>
      </w:r>
      <w:r w:rsidR="00803EB4" w:rsidRPr="0065574D">
        <w:rPr>
          <w:rFonts w:ascii="Arial" w:hAnsi="Arial" w:cs="Arial"/>
          <w:color w:val="000000" w:themeColor="text1"/>
        </w:rPr>
        <w:t xml:space="preserve">delivery partner </w:t>
      </w:r>
      <w:r w:rsidR="00472B1B" w:rsidRPr="0065574D">
        <w:rPr>
          <w:rFonts w:ascii="Arial" w:hAnsi="Arial" w:cs="Arial"/>
          <w:color w:val="000000" w:themeColor="text1"/>
        </w:rPr>
        <w:t xml:space="preserve">is required to deliver </w:t>
      </w:r>
      <w:r w:rsidR="00E41553" w:rsidRPr="0065574D">
        <w:rPr>
          <w:rFonts w:ascii="Arial" w:hAnsi="Arial" w:cs="Arial"/>
          <w:color w:val="000000" w:themeColor="text1"/>
        </w:rPr>
        <w:t>education sessions to children and young people across West Yorkshire</w:t>
      </w:r>
      <w:r w:rsidR="007F616A" w:rsidRPr="0065574D">
        <w:rPr>
          <w:rFonts w:ascii="Arial" w:hAnsi="Arial" w:cs="Arial"/>
          <w:color w:val="000000" w:themeColor="text1"/>
        </w:rPr>
        <w:t xml:space="preserve">, using the equipment and resources attached to the </w:t>
      </w:r>
      <w:r w:rsidR="005A2AEF" w:rsidRPr="0065574D">
        <w:rPr>
          <w:rFonts w:ascii="Arial" w:hAnsi="Arial" w:cs="Arial"/>
          <w:color w:val="000000" w:themeColor="text1"/>
        </w:rPr>
        <w:t xml:space="preserve">Virtual Decisions </w:t>
      </w:r>
      <w:r w:rsidR="007F616A" w:rsidRPr="0065574D">
        <w:rPr>
          <w:rFonts w:ascii="Arial" w:hAnsi="Arial" w:cs="Arial"/>
          <w:color w:val="000000" w:themeColor="text1"/>
        </w:rPr>
        <w:t xml:space="preserve">package </w:t>
      </w:r>
      <w:r w:rsidR="00B318C4" w:rsidRPr="0065574D">
        <w:rPr>
          <w:rFonts w:ascii="Arial" w:hAnsi="Arial" w:cs="Arial"/>
          <w:color w:val="000000" w:themeColor="text1"/>
        </w:rPr>
        <w:t xml:space="preserve">licensed from Round Midnight, focused on knife crime and gang awareness. </w:t>
      </w:r>
    </w:p>
    <w:p w14:paraId="03162A22" w14:textId="77777777" w:rsidR="005D2A6C" w:rsidRPr="0065574D" w:rsidRDefault="005D2A6C" w:rsidP="008A6C68">
      <w:pPr>
        <w:pStyle w:val="ListBullet"/>
        <w:numPr>
          <w:ilvl w:val="0"/>
          <w:numId w:val="0"/>
        </w:numPr>
        <w:rPr>
          <w:rFonts w:ascii="Arial" w:hAnsi="Arial" w:cs="Arial"/>
          <w:color w:val="000000" w:themeColor="text1"/>
        </w:rPr>
      </w:pPr>
    </w:p>
    <w:p w14:paraId="0B574125" w14:textId="08FFF80A" w:rsidR="00441FBB" w:rsidRPr="0065574D" w:rsidRDefault="008A6C68" w:rsidP="008A6C68">
      <w:pPr>
        <w:pStyle w:val="ListBullet"/>
        <w:numPr>
          <w:ilvl w:val="0"/>
          <w:numId w:val="0"/>
        </w:numPr>
        <w:rPr>
          <w:rFonts w:ascii="Arial" w:hAnsi="Arial" w:cs="Arial"/>
          <w:color w:val="000000" w:themeColor="text1"/>
        </w:rPr>
      </w:pPr>
      <w:r w:rsidRPr="0065574D">
        <w:rPr>
          <w:rFonts w:ascii="Arial" w:hAnsi="Arial" w:cs="Arial"/>
          <w:color w:val="000000" w:themeColor="text1"/>
        </w:rPr>
        <w:t xml:space="preserve">The budget available for this service over </w:t>
      </w:r>
      <w:r w:rsidR="00537411" w:rsidRPr="0065574D">
        <w:rPr>
          <w:rFonts w:ascii="Arial" w:hAnsi="Arial" w:cs="Arial"/>
          <w:color w:val="000000" w:themeColor="text1"/>
        </w:rPr>
        <w:t>10 months (1 June 2025 to 31 March 2026)</w:t>
      </w:r>
      <w:r w:rsidRPr="0065574D">
        <w:rPr>
          <w:rFonts w:ascii="Arial" w:hAnsi="Arial" w:cs="Arial"/>
          <w:color w:val="000000" w:themeColor="text1"/>
        </w:rPr>
        <w:t>, shall be £</w:t>
      </w:r>
      <w:r w:rsidR="00DE56F0" w:rsidRPr="0065574D">
        <w:rPr>
          <w:rFonts w:ascii="Arial" w:hAnsi="Arial" w:cs="Arial"/>
          <w:color w:val="000000" w:themeColor="text1"/>
        </w:rPr>
        <w:t>5</w:t>
      </w:r>
      <w:r w:rsidR="001D3C2B">
        <w:rPr>
          <w:rFonts w:ascii="Arial" w:hAnsi="Arial" w:cs="Arial"/>
          <w:color w:val="000000" w:themeColor="text1"/>
        </w:rPr>
        <w:t>5</w:t>
      </w:r>
      <w:r w:rsidR="00DE56F0" w:rsidRPr="0065574D">
        <w:rPr>
          <w:rFonts w:ascii="Arial" w:hAnsi="Arial" w:cs="Arial"/>
          <w:color w:val="000000" w:themeColor="text1"/>
        </w:rPr>
        <w:t>,000 (inclusive of VAT if applicable)</w:t>
      </w:r>
      <w:r w:rsidRPr="0065574D">
        <w:rPr>
          <w:rFonts w:ascii="Arial" w:hAnsi="Arial" w:cs="Arial"/>
          <w:color w:val="000000" w:themeColor="text1"/>
        </w:rPr>
        <w:t xml:space="preserve">, </w:t>
      </w:r>
      <w:r w:rsidR="0038615A" w:rsidRPr="0065574D">
        <w:rPr>
          <w:rFonts w:ascii="Arial" w:hAnsi="Arial" w:cs="Arial"/>
          <w:color w:val="000000" w:themeColor="text1"/>
        </w:rPr>
        <w:t xml:space="preserve">at this time future funding is not confirmed. </w:t>
      </w:r>
    </w:p>
    <w:p w14:paraId="7AD951A1" w14:textId="77777777" w:rsidR="00441FBB" w:rsidRPr="0065574D" w:rsidRDefault="00441FBB" w:rsidP="008A6C68">
      <w:pPr>
        <w:pStyle w:val="ListBullet"/>
        <w:numPr>
          <w:ilvl w:val="0"/>
          <w:numId w:val="0"/>
        </w:numPr>
        <w:rPr>
          <w:rFonts w:ascii="Arial" w:hAnsi="Arial" w:cs="Arial"/>
          <w:color w:val="000000" w:themeColor="text1"/>
        </w:rPr>
      </w:pPr>
    </w:p>
    <w:p w14:paraId="4F4D2B90" w14:textId="0436A9FE" w:rsidR="00441FBB" w:rsidRPr="0065574D" w:rsidRDefault="00441FBB" w:rsidP="008A6C68">
      <w:pPr>
        <w:pStyle w:val="ListBullet"/>
        <w:numPr>
          <w:ilvl w:val="0"/>
          <w:numId w:val="0"/>
        </w:numPr>
        <w:rPr>
          <w:rFonts w:ascii="Arial" w:hAnsi="Arial" w:cs="Arial"/>
          <w:color w:val="000000" w:themeColor="text1"/>
        </w:rPr>
      </w:pPr>
      <w:r w:rsidRPr="0065574D">
        <w:rPr>
          <w:rFonts w:ascii="Arial" w:hAnsi="Arial" w:cs="Arial"/>
          <w:color w:val="000000" w:themeColor="text1"/>
        </w:rPr>
        <w:t xml:space="preserve">The successful bidder shall be awarded with a grant agreement for the agreed amount. The length of the agreement will be for a </w:t>
      </w:r>
      <w:r w:rsidR="00537411" w:rsidRPr="0065574D">
        <w:rPr>
          <w:rFonts w:ascii="Arial" w:hAnsi="Arial" w:cs="Arial"/>
          <w:color w:val="000000" w:themeColor="text1"/>
        </w:rPr>
        <w:t>10</w:t>
      </w:r>
      <w:r w:rsidRPr="0065574D">
        <w:rPr>
          <w:rFonts w:ascii="Arial" w:hAnsi="Arial" w:cs="Arial"/>
          <w:color w:val="000000" w:themeColor="text1"/>
        </w:rPr>
        <w:t xml:space="preserve">-month period. </w:t>
      </w:r>
    </w:p>
    <w:p w14:paraId="52C92BF9" w14:textId="77777777" w:rsidR="00316A61" w:rsidRPr="0065574D" w:rsidRDefault="00316A61" w:rsidP="008A6C68">
      <w:pPr>
        <w:pStyle w:val="ListBullet"/>
        <w:numPr>
          <w:ilvl w:val="0"/>
          <w:numId w:val="0"/>
        </w:numPr>
        <w:rPr>
          <w:rFonts w:ascii="Arial" w:hAnsi="Arial" w:cs="Arial"/>
          <w:color w:val="000000" w:themeColor="text1"/>
        </w:rPr>
      </w:pPr>
    </w:p>
    <w:p w14:paraId="4BCF59C9" w14:textId="6E5E1ADC" w:rsidR="00441FBB" w:rsidRPr="0065574D" w:rsidRDefault="00316A61" w:rsidP="00316A61">
      <w:pPr>
        <w:pStyle w:val="ListBullet"/>
        <w:numPr>
          <w:ilvl w:val="0"/>
          <w:numId w:val="0"/>
        </w:numPr>
        <w:pBdr>
          <w:bottom w:val="single" w:sz="4" w:space="1" w:color="auto"/>
        </w:pBdr>
        <w:rPr>
          <w:rFonts w:ascii="Arial" w:hAnsi="Arial" w:cs="Arial"/>
          <w:b/>
          <w:bCs/>
          <w:color w:val="000000" w:themeColor="text1"/>
        </w:rPr>
      </w:pPr>
      <w:r w:rsidRPr="0065574D">
        <w:rPr>
          <w:rFonts w:ascii="Arial" w:hAnsi="Arial" w:cs="Arial"/>
          <w:b/>
          <w:bCs/>
          <w:color w:val="000000" w:themeColor="text1"/>
        </w:rPr>
        <w:t>Expression of Interest Submission</w:t>
      </w:r>
    </w:p>
    <w:p w14:paraId="5CC83AD5" w14:textId="77777777" w:rsidR="00441FBB" w:rsidRPr="0065574D" w:rsidRDefault="00441FBB" w:rsidP="008A6C68">
      <w:pPr>
        <w:pStyle w:val="ListBullet"/>
        <w:numPr>
          <w:ilvl w:val="0"/>
          <w:numId w:val="0"/>
        </w:numPr>
        <w:rPr>
          <w:rFonts w:ascii="Arial" w:hAnsi="Arial" w:cs="Arial"/>
          <w:color w:val="000000" w:themeColor="text1"/>
        </w:rPr>
      </w:pPr>
    </w:p>
    <w:p w14:paraId="452453C3" w14:textId="1DFA4CA9" w:rsidR="00DA6768" w:rsidRPr="0065574D" w:rsidRDefault="00441FBB" w:rsidP="008A6C68">
      <w:pPr>
        <w:pStyle w:val="ListBullet"/>
        <w:numPr>
          <w:ilvl w:val="0"/>
          <w:numId w:val="0"/>
        </w:numPr>
        <w:rPr>
          <w:rFonts w:ascii="Arial" w:hAnsi="Arial" w:cs="Arial"/>
          <w:color w:val="000000" w:themeColor="text1"/>
        </w:rPr>
      </w:pPr>
      <w:r w:rsidRPr="0065574D">
        <w:rPr>
          <w:rFonts w:ascii="Arial" w:hAnsi="Arial" w:cs="Arial"/>
          <w:color w:val="000000" w:themeColor="text1"/>
        </w:rPr>
        <w:t xml:space="preserve">Bidders are invited to submit an Expression of Interest to deliver the requirements outlined in this Service Specification. </w:t>
      </w:r>
      <w:r w:rsidR="008B4176" w:rsidRPr="0065574D">
        <w:rPr>
          <w:rFonts w:ascii="Arial" w:hAnsi="Arial" w:cs="Arial"/>
          <w:color w:val="000000" w:themeColor="text1"/>
        </w:rPr>
        <w:t xml:space="preserve">The delivery period will commence on from 1 June </w:t>
      </w:r>
      <w:r w:rsidR="00CE229E" w:rsidRPr="0065574D">
        <w:rPr>
          <w:rFonts w:ascii="Arial" w:hAnsi="Arial" w:cs="Arial"/>
          <w:color w:val="000000" w:themeColor="text1"/>
        </w:rPr>
        <w:t>2025 and the awarded pro</w:t>
      </w:r>
      <w:r w:rsidRPr="0065574D">
        <w:rPr>
          <w:rFonts w:ascii="Arial" w:hAnsi="Arial" w:cs="Arial"/>
          <w:color w:val="000000" w:themeColor="text1"/>
        </w:rPr>
        <w:t xml:space="preserve">vider will need to work swiftly to have the service in place within this agreed timescale. The following timetable will be followed for Expression of Interest and Evaluation. Bidders are invited in their response to outline their proposed timescales for delivery. Please note that there will be an expectation that the successful </w:t>
      </w:r>
      <w:r w:rsidR="00D546E2" w:rsidRPr="0065574D">
        <w:rPr>
          <w:rFonts w:ascii="Arial" w:hAnsi="Arial" w:cs="Arial"/>
          <w:color w:val="000000" w:themeColor="text1"/>
        </w:rPr>
        <w:t>provider</w:t>
      </w:r>
      <w:r w:rsidRPr="0065574D">
        <w:rPr>
          <w:rFonts w:ascii="Arial" w:hAnsi="Arial" w:cs="Arial"/>
          <w:color w:val="000000" w:themeColor="text1"/>
        </w:rPr>
        <w:t xml:space="preserve"> </w:t>
      </w:r>
      <w:r w:rsidR="00BA04EE" w:rsidRPr="0065574D">
        <w:rPr>
          <w:rFonts w:ascii="Arial" w:hAnsi="Arial" w:cs="Arial"/>
          <w:color w:val="000000" w:themeColor="text1"/>
        </w:rPr>
        <w:t xml:space="preserve">will arrange </w:t>
      </w:r>
      <w:r w:rsidR="00032862" w:rsidRPr="0065574D">
        <w:rPr>
          <w:rFonts w:ascii="Arial" w:hAnsi="Arial" w:cs="Arial"/>
          <w:color w:val="000000" w:themeColor="text1"/>
        </w:rPr>
        <w:t xml:space="preserve">sessions to commence </w:t>
      </w:r>
      <w:r w:rsidR="00465E11" w:rsidRPr="0065574D">
        <w:rPr>
          <w:rFonts w:ascii="Arial" w:hAnsi="Arial" w:cs="Arial"/>
          <w:color w:val="000000" w:themeColor="text1"/>
        </w:rPr>
        <w:t>from Monday 2 June</w:t>
      </w:r>
      <w:r w:rsidR="00F87F58" w:rsidRPr="0065574D">
        <w:rPr>
          <w:rFonts w:ascii="Arial" w:hAnsi="Arial" w:cs="Arial"/>
          <w:color w:val="000000" w:themeColor="text1"/>
        </w:rPr>
        <w:t xml:space="preserve"> to maximise</w:t>
      </w:r>
      <w:r w:rsidR="00267732" w:rsidRPr="0065574D">
        <w:rPr>
          <w:rFonts w:ascii="Arial" w:hAnsi="Arial" w:cs="Arial"/>
          <w:color w:val="000000" w:themeColor="text1"/>
        </w:rPr>
        <w:t xml:space="preserve"> delivery </w:t>
      </w:r>
      <w:r w:rsidR="00C468DE" w:rsidRPr="0065574D">
        <w:rPr>
          <w:rFonts w:ascii="Arial" w:hAnsi="Arial" w:cs="Arial"/>
          <w:color w:val="000000" w:themeColor="text1"/>
        </w:rPr>
        <w:t xml:space="preserve">from the beginning </w:t>
      </w:r>
      <w:r w:rsidR="008F7F20" w:rsidRPr="0065574D">
        <w:rPr>
          <w:rFonts w:ascii="Arial" w:hAnsi="Arial" w:cs="Arial"/>
          <w:color w:val="000000" w:themeColor="text1"/>
        </w:rPr>
        <w:t>through to the end of</w:t>
      </w:r>
      <w:r w:rsidR="00F87F58" w:rsidRPr="0065574D">
        <w:rPr>
          <w:rFonts w:ascii="Arial" w:hAnsi="Arial" w:cs="Arial"/>
          <w:color w:val="000000" w:themeColor="text1"/>
        </w:rPr>
        <w:t xml:space="preserve"> the grant period</w:t>
      </w:r>
      <w:r w:rsidR="008F7F20" w:rsidRPr="0065574D">
        <w:rPr>
          <w:rFonts w:ascii="Arial" w:hAnsi="Arial" w:cs="Arial"/>
          <w:color w:val="000000" w:themeColor="text1"/>
        </w:rPr>
        <w:t>.</w:t>
      </w:r>
      <w:r w:rsidR="00F87F58" w:rsidRPr="0065574D">
        <w:rPr>
          <w:rFonts w:ascii="Arial" w:hAnsi="Arial" w:cs="Arial"/>
          <w:color w:val="000000" w:themeColor="text1"/>
        </w:rPr>
        <w:t xml:space="preserve"> </w:t>
      </w:r>
    </w:p>
    <w:p w14:paraId="078462B1" w14:textId="77777777" w:rsidR="00316A61" w:rsidRPr="0065574D" w:rsidRDefault="00316A61" w:rsidP="008A6C68">
      <w:pPr>
        <w:pStyle w:val="ListBullet"/>
        <w:numPr>
          <w:ilvl w:val="0"/>
          <w:numId w:val="0"/>
        </w:numPr>
        <w:rPr>
          <w:rFonts w:ascii="Arial" w:hAnsi="Arial" w:cs="Arial"/>
          <w:color w:val="000000" w:themeColor="text1"/>
        </w:rPr>
      </w:pPr>
    </w:p>
    <w:p w14:paraId="38C7BDC6" w14:textId="635BD167" w:rsidR="00DA6768" w:rsidRPr="0065574D" w:rsidRDefault="00441FBB" w:rsidP="008A6C68">
      <w:pPr>
        <w:pStyle w:val="ListBullet"/>
        <w:numPr>
          <w:ilvl w:val="0"/>
          <w:numId w:val="0"/>
        </w:numPr>
        <w:rPr>
          <w:rFonts w:ascii="Arial" w:hAnsi="Arial" w:cs="Arial"/>
          <w:color w:val="000000" w:themeColor="text1"/>
        </w:rPr>
      </w:pPr>
      <w:r w:rsidRPr="0065574D">
        <w:rPr>
          <w:rFonts w:ascii="Arial" w:hAnsi="Arial" w:cs="Arial"/>
          <w:color w:val="000000" w:themeColor="text1"/>
        </w:rPr>
        <w:t>Expression of Interest Opens –</w:t>
      </w:r>
      <w:r w:rsidR="00A5526B" w:rsidRPr="0065574D">
        <w:rPr>
          <w:rFonts w:ascii="Arial" w:hAnsi="Arial" w:cs="Arial"/>
          <w:color w:val="000000" w:themeColor="text1"/>
        </w:rPr>
        <w:t xml:space="preserve">14 </w:t>
      </w:r>
      <w:r w:rsidR="00BC1B5D" w:rsidRPr="0065574D">
        <w:rPr>
          <w:rFonts w:ascii="Arial" w:hAnsi="Arial" w:cs="Arial"/>
          <w:color w:val="000000" w:themeColor="text1"/>
        </w:rPr>
        <w:t>April</w:t>
      </w:r>
      <w:r w:rsidRPr="0065574D">
        <w:rPr>
          <w:rFonts w:ascii="Arial" w:hAnsi="Arial" w:cs="Arial"/>
          <w:color w:val="000000" w:themeColor="text1"/>
        </w:rPr>
        <w:t xml:space="preserve"> </w:t>
      </w:r>
    </w:p>
    <w:p w14:paraId="397DBE49" w14:textId="273EB5E7" w:rsidR="00DA6768" w:rsidRPr="0065574D" w:rsidRDefault="00441FBB" w:rsidP="008A6C68">
      <w:pPr>
        <w:pStyle w:val="ListBullet"/>
        <w:numPr>
          <w:ilvl w:val="0"/>
          <w:numId w:val="0"/>
        </w:numPr>
        <w:rPr>
          <w:rFonts w:ascii="Arial" w:hAnsi="Arial" w:cs="Arial"/>
          <w:color w:val="000000" w:themeColor="text1"/>
        </w:rPr>
      </w:pPr>
      <w:r w:rsidRPr="0065574D">
        <w:rPr>
          <w:rFonts w:ascii="Arial" w:hAnsi="Arial" w:cs="Arial"/>
          <w:color w:val="000000" w:themeColor="text1"/>
        </w:rPr>
        <w:t xml:space="preserve">Expression of Interest Closes – </w:t>
      </w:r>
      <w:r w:rsidR="005E222D" w:rsidRPr="0065574D">
        <w:rPr>
          <w:rFonts w:ascii="Arial" w:hAnsi="Arial" w:cs="Arial"/>
          <w:color w:val="000000" w:themeColor="text1"/>
        </w:rPr>
        <w:t xml:space="preserve">5pm </w:t>
      </w:r>
      <w:r w:rsidR="00A5526B" w:rsidRPr="0065574D">
        <w:rPr>
          <w:rFonts w:ascii="Arial" w:hAnsi="Arial" w:cs="Arial"/>
          <w:color w:val="000000" w:themeColor="text1"/>
        </w:rPr>
        <w:t>2 May</w:t>
      </w:r>
      <w:r w:rsidR="005E222D" w:rsidRPr="0065574D">
        <w:rPr>
          <w:rFonts w:ascii="Arial" w:hAnsi="Arial" w:cs="Arial"/>
          <w:color w:val="000000" w:themeColor="text1"/>
        </w:rPr>
        <w:t xml:space="preserve"> 2025</w:t>
      </w:r>
    </w:p>
    <w:p w14:paraId="4D461C6B" w14:textId="5D1BAB66" w:rsidR="00DA6768" w:rsidRPr="0065574D" w:rsidRDefault="00441FBB" w:rsidP="008A6C68">
      <w:pPr>
        <w:pStyle w:val="ListBullet"/>
        <w:numPr>
          <w:ilvl w:val="0"/>
          <w:numId w:val="0"/>
        </w:numPr>
        <w:rPr>
          <w:rFonts w:ascii="Arial" w:hAnsi="Arial" w:cs="Arial"/>
          <w:color w:val="000000" w:themeColor="text1"/>
        </w:rPr>
      </w:pPr>
      <w:r w:rsidRPr="0065574D">
        <w:rPr>
          <w:rFonts w:ascii="Arial" w:hAnsi="Arial" w:cs="Arial"/>
          <w:color w:val="000000" w:themeColor="text1"/>
        </w:rPr>
        <w:t xml:space="preserve">Evaluation Period – </w:t>
      </w:r>
      <w:r w:rsidR="00A5526B" w:rsidRPr="0065574D">
        <w:rPr>
          <w:rFonts w:ascii="Arial" w:hAnsi="Arial" w:cs="Arial"/>
          <w:color w:val="000000" w:themeColor="text1"/>
        </w:rPr>
        <w:t>6 to 9 May</w:t>
      </w:r>
      <w:r w:rsidR="005D2BFF" w:rsidRPr="0065574D">
        <w:rPr>
          <w:rFonts w:ascii="Arial" w:hAnsi="Arial" w:cs="Arial"/>
          <w:color w:val="000000" w:themeColor="text1"/>
        </w:rPr>
        <w:t xml:space="preserve"> 2025</w:t>
      </w:r>
    </w:p>
    <w:p w14:paraId="7F19022F" w14:textId="7EBB90CE" w:rsidR="00DA6768" w:rsidRPr="0065574D" w:rsidRDefault="00441FBB" w:rsidP="008A6C68">
      <w:pPr>
        <w:pStyle w:val="ListBullet"/>
        <w:numPr>
          <w:ilvl w:val="0"/>
          <w:numId w:val="0"/>
        </w:numPr>
        <w:rPr>
          <w:rFonts w:ascii="Arial" w:hAnsi="Arial" w:cs="Arial"/>
          <w:color w:val="000000" w:themeColor="text1"/>
        </w:rPr>
      </w:pPr>
      <w:r w:rsidRPr="0065574D">
        <w:rPr>
          <w:rFonts w:ascii="Arial" w:hAnsi="Arial" w:cs="Arial"/>
          <w:color w:val="000000" w:themeColor="text1"/>
        </w:rPr>
        <w:t xml:space="preserve">Notification of Award – </w:t>
      </w:r>
      <w:r w:rsidR="005D2BFF" w:rsidRPr="0065574D">
        <w:rPr>
          <w:rFonts w:ascii="Arial" w:hAnsi="Arial" w:cs="Arial"/>
          <w:color w:val="000000" w:themeColor="text1"/>
        </w:rPr>
        <w:t>week commencing</w:t>
      </w:r>
      <w:r w:rsidR="008B4176" w:rsidRPr="0065574D">
        <w:rPr>
          <w:rFonts w:ascii="Arial" w:hAnsi="Arial" w:cs="Arial"/>
          <w:color w:val="000000" w:themeColor="text1"/>
        </w:rPr>
        <w:t xml:space="preserve"> 12 May</w:t>
      </w:r>
      <w:r w:rsidR="005D2BFF" w:rsidRPr="0065574D">
        <w:rPr>
          <w:rFonts w:ascii="Arial" w:hAnsi="Arial" w:cs="Arial"/>
          <w:color w:val="000000" w:themeColor="text1"/>
        </w:rPr>
        <w:t xml:space="preserve"> 2025</w:t>
      </w:r>
    </w:p>
    <w:p w14:paraId="2A20E656" w14:textId="7A8DDF4E" w:rsidR="00DA6768" w:rsidRPr="0065574D" w:rsidRDefault="00441FBB" w:rsidP="008A6C68">
      <w:pPr>
        <w:pStyle w:val="ListBullet"/>
        <w:numPr>
          <w:ilvl w:val="0"/>
          <w:numId w:val="0"/>
        </w:numPr>
        <w:rPr>
          <w:rFonts w:ascii="Arial" w:hAnsi="Arial" w:cs="Arial"/>
          <w:color w:val="000000" w:themeColor="text1"/>
        </w:rPr>
      </w:pPr>
      <w:r w:rsidRPr="0065574D">
        <w:rPr>
          <w:rFonts w:ascii="Arial" w:hAnsi="Arial" w:cs="Arial"/>
          <w:color w:val="000000" w:themeColor="text1"/>
        </w:rPr>
        <w:t xml:space="preserve">Grant Period Starts – </w:t>
      </w:r>
      <w:r w:rsidR="005D2BFF" w:rsidRPr="0065574D">
        <w:rPr>
          <w:rFonts w:ascii="Arial" w:hAnsi="Arial" w:cs="Arial"/>
          <w:color w:val="000000" w:themeColor="text1"/>
        </w:rPr>
        <w:t xml:space="preserve">1 </w:t>
      </w:r>
      <w:r w:rsidR="008B4176" w:rsidRPr="0065574D">
        <w:rPr>
          <w:rFonts w:ascii="Arial" w:hAnsi="Arial" w:cs="Arial"/>
          <w:color w:val="000000" w:themeColor="text1"/>
        </w:rPr>
        <w:t>June</w:t>
      </w:r>
      <w:r w:rsidR="005D2BFF" w:rsidRPr="0065574D">
        <w:rPr>
          <w:rFonts w:ascii="Arial" w:hAnsi="Arial" w:cs="Arial"/>
          <w:color w:val="000000" w:themeColor="text1"/>
        </w:rPr>
        <w:t xml:space="preserve"> 2025 </w:t>
      </w:r>
    </w:p>
    <w:p w14:paraId="3C6DBE10" w14:textId="77777777" w:rsidR="00DA6768" w:rsidRPr="0065574D" w:rsidRDefault="00DA6768" w:rsidP="008A6C68">
      <w:pPr>
        <w:pStyle w:val="ListBullet"/>
        <w:numPr>
          <w:ilvl w:val="0"/>
          <w:numId w:val="0"/>
        </w:numPr>
        <w:rPr>
          <w:rFonts w:ascii="Arial" w:hAnsi="Arial" w:cs="Arial"/>
          <w:color w:val="000000" w:themeColor="text1"/>
        </w:rPr>
      </w:pPr>
    </w:p>
    <w:p w14:paraId="658F2914" w14:textId="77777777" w:rsidR="00DA6768" w:rsidRPr="0065574D" w:rsidRDefault="00441FBB" w:rsidP="00B43CF3">
      <w:pPr>
        <w:pStyle w:val="ListBullet"/>
        <w:numPr>
          <w:ilvl w:val="0"/>
          <w:numId w:val="0"/>
        </w:numPr>
        <w:pBdr>
          <w:bottom w:val="single" w:sz="4" w:space="1" w:color="auto"/>
        </w:pBdr>
        <w:rPr>
          <w:rFonts w:ascii="Arial" w:hAnsi="Arial" w:cs="Arial"/>
          <w:b/>
          <w:bCs/>
          <w:color w:val="000000" w:themeColor="text1"/>
        </w:rPr>
      </w:pPr>
      <w:r w:rsidRPr="0065574D">
        <w:rPr>
          <w:rFonts w:ascii="Arial" w:hAnsi="Arial" w:cs="Arial"/>
          <w:b/>
          <w:bCs/>
          <w:color w:val="000000" w:themeColor="text1"/>
        </w:rPr>
        <w:t xml:space="preserve">Evaluation </w:t>
      </w:r>
    </w:p>
    <w:p w14:paraId="54666D6C" w14:textId="77777777" w:rsidR="00DA6768" w:rsidRPr="0065574D" w:rsidRDefault="00DA6768" w:rsidP="008A6C68">
      <w:pPr>
        <w:pStyle w:val="ListBullet"/>
        <w:numPr>
          <w:ilvl w:val="0"/>
          <w:numId w:val="0"/>
        </w:numPr>
        <w:rPr>
          <w:rFonts w:ascii="Arial" w:hAnsi="Arial" w:cs="Arial"/>
          <w:color w:val="000000" w:themeColor="text1"/>
        </w:rPr>
      </w:pPr>
    </w:p>
    <w:p w14:paraId="45D47EC6" w14:textId="77777777" w:rsidR="00DA6768" w:rsidRPr="0065574D" w:rsidRDefault="00441FBB" w:rsidP="008A6C68">
      <w:pPr>
        <w:pStyle w:val="ListBullet"/>
        <w:numPr>
          <w:ilvl w:val="0"/>
          <w:numId w:val="0"/>
        </w:numPr>
        <w:rPr>
          <w:rFonts w:ascii="Arial" w:hAnsi="Arial" w:cs="Arial"/>
          <w:color w:val="000000" w:themeColor="text1"/>
        </w:rPr>
      </w:pPr>
      <w:r w:rsidRPr="0065574D">
        <w:rPr>
          <w:rFonts w:ascii="Arial" w:hAnsi="Arial" w:cs="Arial"/>
          <w:color w:val="000000" w:themeColor="text1"/>
        </w:rPr>
        <w:t>Each response will be scored using the scoring matrix detailed below</w:t>
      </w:r>
      <w:r w:rsidR="00DA6768" w:rsidRPr="0065574D">
        <w:rPr>
          <w:rFonts w:ascii="Arial" w:hAnsi="Arial" w:cs="Arial"/>
          <w:color w:val="000000" w:themeColor="text1"/>
        </w:rPr>
        <w:t>.</w:t>
      </w:r>
    </w:p>
    <w:p w14:paraId="01206BC4" w14:textId="77777777" w:rsidR="00DA6768" w:rsidRPr="0065574D" w:rsidRDefault="00DA6768" w:rsidP="008A6C68">
      <w:pPr>
        <w:pStyle w:val="ListBullet"/>
        <w:numPr>
          <w:ilvl w:val="0"/>
          <w:numId w:val="0"/>
        </w:numPr>
        <w:rPr>
          <w:rFonts w:ascii="Arial" w:hAnsi="Arial" w:cs="Arial"/>
          <w:color w:val="000000" w:themeColor="text1"/>
        </w:rPr>
      </w:pPr>
    </w:p>
    <w:p w14:paraId="6034FEDF" w14:textId="77777777" w:rsidR="00DA6768" w:rsidRPr="0065574D" w:rsidRDefault="00441FBB" w:rsidP="008A6C68">
      <w:pPr>
        <w:pStyle w:val="ListBullet"/>
        <w:numPr>
          <w:ilvl w:val="0"/>
          <w:numId w:val="0"/>
        </w:numPr>
        <w:rPr>
          <w:rFonts w:ascii="Arial" w:hAnsi="Arial" w:cs="Arial"/>
          <w:color w:val="000000" w:themeColor="text1"/>
        </w:rPr>
      </w:pPr>
      <w:r w:rsidRPr="0065574D">
        <w:rPr>
          <w:rFonts w:ascii="Arial" w:hAnsi="Arial" w:cs="Arial"/>
          <w:color w:val="000000" w:themeColor="text1"/>
        </w:rPr>
        <w:t xml:space="preserve">All applications received by the stated application deadline will be assessed against the stated criteria before any decision is taken whether to grant fund. </w:t>
      </w:r>
    </w:p>
    <w:p w14:paraId="070FBE06" w14:textId="77777777" w:rsidR="00DA6768" w:rsidRPr="0065574D" w:rsidRDefault="00DA6768" w:rsidP="008A6C68">
      <w:pPr>
        <w:pStyle w:val="ListBullet"/>
        <w:numPr>
          <w:ilvl w:val="0"/>
          <w:numId w:val="0"/>
        </w:numPr>
        <w:rPr>
          <w:rFonts w:ascii="Arial" w:hAnsi="Arial" w:cs="Arial"/>
          <w:color w:val="000000" w:themeColor="text1"/>
        </w:rPr>
      </w:pPr>
    </w:p>
    <w:p w14:paraId="1B29B155" w14:textId="532746A1" w:rsidR="00CB58CD" w:rsidRPr="0065574D" w:rsidRDefault="00441FBB" w:rsidP="008A6C68">
      <w:pPr>
        <w:pStyle w:val="ListBullet"/>
        <w:numPr>
          <w:ilvl w:val="0"/>
          <w:numId w:val="0"/>
        </w:numPr>
        <w:rPr>
          <w:rFonts w:ascii="Arial" w:hAnsi="Arial" w:cs="Arial"/>
          <w:color w:val="000000" w:themeColor="text1"/>
        </w:rPr>
      </w:pPr>
      <w:r w:rsidRPr="0065574D">
        <w:rPr>
          <w:rFonts w:ascii="Arial" w:hAnsi="Arial" w:cs="Arial"/>
          <w:color w:val="000000" w:themeColor="text1"/>
        </w:rPr>
        <w:t xml:space="preserve">The assessment panel’s decision will be </w:t>
      </w:r>
      <w:r w:rsidR="00B43CF3" w:rsidRPr="0065574D">
        <w:rPr>
          <w:rFonts w:ascii="Arial" w:hAnsi="Arial" w:cs="Arial"/>
          <w:color w:val="000000" w:themeColor="text1"/>
        </w:rPr>
        <w:t>final,</w:t>
      </w:r>
      <w:r w:rsidRPr="0065574D">
        <w:rPr>
          <w:rFonts w:ascii="Arial" w:hAnsi="Arial" w:cs="Arial"/>
          <w:color w:val="000000" w:themeColor="text1"/>
        </w:rPr>
        <w:t xml:space="preserve"> and no discussions will be entered into regarding t</w:t>
      </w:r>
      <w:r w:rsidR="00DA6768" w:rsidRPr="0065574D">
        <w:rPr>
          <w:rFonts w:ascii="Arial" w:hAnsi="Arial" w:cs="Arial"/>
          <w:color w:val="000000" w:themeColor="text1"/>
        </w:rPr>
        <w:t>o</w:t>
      </w:r>
      <w:r w:rsidRPr="0065574D">
        <w:rPr>
          <w:rFonts w:ascii="Arial" w:hAnsi="Arial" w:cs="Arial"/>
          <w:color w:val="000000" w:themeColor="text1"/>
        </w:rPr>
        <w:t xml:space="preserve"> decision making of the panel</w:t>
      </w:r>
      <w:r w:rsidR="00DA6768" w:rsidRPr="0065574D">
        <w:rPr>
          <w:rFonts w:ascii="Arial" w:hAnsi="Arial" w:cs="Arial"/>
          <w:color w:val="000000" w:themeColor="text1"/>
        </w:rPr>
        <w:t>.</w:t>
      </w:r>
    </w:p>
    <w:p w14:paraId="72EE1D01" w14:textId="77777777" w:rsidR="004903AE" w:rsidRDefault="004903AE" w:rsidP="008A6C68">
      <w:pPr>
        <w:pStyle w:val="ListBullet"/>
        <w:numPr>
          <w:ilvl w:val="0"/>
          <w:numId w:val="0"/>
        </w:numPr>
        <w:rPr>
          <w:rFonts w:ascii="Arial" w:hAnsi="Arial" w:cs="Arial"/>
          <w:color w:val="000000" w:themeColor="text1"/>
        </w:rPr>
      </w:pPr>
    </w:p>
    <w:p w14:paraId="3920FEBE" w14:textId="77777777" w:rsidR="006246E9" w:rsidRPr="0065574D" w:rsidRDefault="006246E9" w:rsidP="008A6C68">
      <w:pPr>
        <w:pStyle w:val="ListBullet"/>
        <w:numPr>
          <w:ilvl w:val="0"/>
          <w:numId w:val="0"/>
        </w:numPr>
        <w:rPr>
          <w:rFonts w:ascii="Arial" w:hAnsi="Arial" w:cs="Arial"/>
          <w:color w:val="000000" w:themeColor="text1"/>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06"/>
        <w:gridCol w:w="7404"/>
      </w:tblGrid>
      <w:tr w:rsidR="0065574D" w:rsidRPr="0065574D" w14:paraId="422753D7" w14:textId="77777777" w:rsidTr="008F00D2">
        <w:trPr>
          <w:trHeight w:val="300"/>
        </w:trPr>
        <w:tc>
          <w:tcPr>
            <w:tcW w:w="1695" w:type="dxa"/>
            <w:tcBorders>
              <w:top w:val="single" w:sz="6" w:space="0" w:color="000000"/>
              <w:left w:val="single" w:sz="6" w:space="0" w:color="000000"/>
              <w:bottom w:val="single" w:sz="6" w:space="0" w:color="000000"/>
              <w:right w:val="single" w:sz="6" w:space="0" w:color="000000"/>
            </w:tcBorders>
            <w:shd w:val="clear" w:color="auto" w:fill="006F81"/>
            <w:vAlign w:val="center"/>
            <w:hideMark/>
          </w:tcPr>
          <w:p w14:paraId="7805A3DA" w14:textId="6E8CD51C" w:rsidR="001744EE" w:rsidRPr="0065574D" w:rsidRDefault="00E710F0" w:rsidP="008F00D2">
            <w:pPr>
              <w:spacing w:after="0" w:line="240" w:lineRule="auto"/>
              <w:textAlignment w:val="baseline"/>
              <w:rPr>
                <w:rFonts w:ascii="Segoe UI" w:eastAsia="Times New Roman" w:hAnsi="Segoe UI" w:cs="Segoe UI"/>
                <w:color w:val="FFFFFF" w:themeColor="background1"/>
                <w:kern w:val="0"/>
                <w:sz w:val="18"/>
                <w:szCs w:val="18"/>
                <w:lang w:eastAsia="en-GB"/>
                <w14:ligatures w14:val="none"/>
              </w:rPr>
            </w:pPr>
            <w:r w:rsidRPr="0065574D">
              <w:rPr>
                <w:rFonts w:ascii="Arial" w:eastAsia="Times New Roman" w:hAnsi="Arial" w:cs="Arial"/>
                <w:b/>
                <w:bCs/>
                <w:color w:val="FFFFFF" w:themeColor="background1"/>
                <w:kern w:val="0"/>
                <w:lang w:val="en" w:eastAsia="en-GB"/>
                <w14:ligatures w14:val="none"/>
              </w:rPr>
              <w:lastRenderedPageBreak/>
              <w:t>Numerical Score</w:t>
            </w:r>
            <w:r w:rsidR="001744EE" w:rsidRPr="0065574D">
              <w:rPr>
                <w:rFonts w:ascii="Arial" w:eastAsia="Times New Roman" w:hAnsi="Arial" w:cs="Arial"/>
                <w:color w:val="FFFFFF" w:themeColor="background1"/>
                <w:kern w:val="0"/>
                <w:lang w:eastAsia="en-GB"/>
                <w14:ligatures w14:val="none"/>
              </w:rPr>
              <w:t> </w:t>
            </w:r>
          </w:p>
        </w:tc>
        <w:tc>
          <w:tcPr>
            <w:tcW w:w="8640" w:type="dxa"/>
            <w:tcBorders>
              <w:top w:val="single" w:sz="6" w:space="0" w:color="000000"/>
              <w:left w:val="single" w:sz="6" w:space="0" w:color="000000"/>
              <w:bottom w:val="single" w:sz="6" w:space="0" w:color="000000"/>
              <w:right w:val="single" w:sz="6" w:space="0" w:color="000000"/>
            </w:tcBorders>
            <w:shd w:val="clear" w:color="auto" w:fill="006F81"/>
            <w:vAlign w:val="center"/>
            <w:hideMark/>
          </w:tcPr>
          <w:p w14:paraId="0B6BD06B" w14:textId="77777777" w:rsidR="001744EE" w:rsidRPr="0065574D" w:rsidRDefault="001744EE" w:rsidP="008F00D2">
            <w:pPr>
              <w:spacing w:after="0" w:line="240" w:lineRule="auto"/>
              <w:textAlignment w:val="baseline"/>
              <w:rPr>
                <w:rFonts w:ascii="Segoe UI" w:eastAsia="Times New Roman" w:hAnsi="Segoe UI" w:cs="Segoe UI"/>
                <w:color w:val="FFFFFF" w:themeColor="background1"/>
                <w:kern w:val="0"/>
                <w:sz w:val="18"/>
                <w:szCs w:val="18"/>
                <w:lang w:eastAsia="en-GB"/>
                <w14:ligatures w14:val="none"/>
              </w:rPr>
            </w:pPr>
            <w:r w:rsidRPr="0065574D">
              <w:rPr>
                <w:rFonts w:ascii="Arial" w:eastAsia="Times New Roman" w:hAnsi="Arial" w:cs="Arial"/>
                <w:b/>
                <w:bCs/>
                <w:color w:val="FFFFFF" w:themeColor="background1"/>
                <w:kern w:val="0"/>
                <w:lang w:val="en" w:eastAsia="en-GB"/>
                <w14:ligatures w14:val="none"/>
              </w:rPr>
              <w:t>Description</w:t>
            </w:r>
            <w:r w:rsidRPr="0065574D">
              <w:rPr>
                <w:rFonts w:ascii="Arial" w:eastAsia="Times New Roman" w:hAnsi="Arial" w:cs="Arial"/>
                <w:color w:val="FFFFFF" w:themeColor="background1"/>
                <w:kern w:val="0"/>
                <w:lang w:eastAsia="en-GB"/>
                <w14:ligatures w14:val="none"/>
              </w:rPr>
              <w:t> </w:t>
            </w:r>
          </w:p>
        </w:tc>
      </w:tr>
      <w:tr w:rsidR="0065574D" w:rsidRPr="0065574D" w14:paraId="2B858BEF" w14:textId="77777777" w:rsidTr="008F00D2">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9C83711" w14:textId="7B089075" w:rsidR="001744EE" w:rsidRPr="0065574D" w:rsidRDefault="00E710F0" w:rsidP="008F00D2">
            <w:pPr>
              <w:spacing w:after="0" w:line="240" w:lineRule="auto"/>
              <w:textAlignment w:val="baseline"/>
              <w:rPr>
                <w:rFonts w:ascii="Segoe UI" w:eastAsia="Times New Roman" w:hAnsi="Segoe UI" w:cs="Segoe UI"/>
                <w:color w:val="000000" w:themeColor="text1"/>
                <w:kern w:val="0"/>
                <w:sz w:val="18"/>
                <w:szCs w:val="18"/>
                <w:lang w:eastAsia="en-GB"/>
                <w14:ligatures w14:val="none"/>
              </w:rPr>
            </w:pPr>
            <w:r w:rsidRPr="0065574D">
              <w:rPr>
                <w:rFonts w:ascii="Arial" w:eastAsia="Times New Roman" w:hAnsi="Arial" w:cs="Arial"/>
                <w:color w:val="000000" w:themeColor="text1"/>
                <w:kern w:val="0"/>
                <w:lang w:eastAsia="en-GB"/>
                <w14:ligatures w14:val="none"/>
              </w:rPr>
              <w:t>10</w:t>
            </w:r>
            <w:r w:rsidR="001744EE" w:rsidRPr="0065574D">
              <w:rPr>
                <w:rFonts w:ascii="Arial" w:eastAsia="Times New Roman" w:hAnsi="Arial" w:cs="Arial"/>
                <w:color w:val="000000" w:themeColor="text1"/>
                <w:kern w:val="0"/>
                <w:lang w:eastAsia="en-GB"/>
                <w14:ligatures w14:val="none"/>
              </w:rPr>
              <w:t> </w:t>
            </w:r>
          </w:p>
        </w:tc>
        <w:tc>
          <w:tcPr>
            <w:tcW w:w="8640" w:type="dxa"/>
            <w:tcBorders>
              <w:top w:val="single" w:sz="6" w:space="0" w:color="auto"/>
              <w:left w:val="single" w:sz="6" w:space="0" w:color="auto"/>
              <w:bottom w:val="single" w:sz="6" w:space="0" w:color="auto"/>
              <w:right w:val="single" w:sz="6" w:space="0" w:color="auto"/>
            </w:tcBorders>
            <w:shd w:val="clear" w:color="auto" w:fill="FFFFFF"/>
            <w:hideMark/>
          </w:tcPr>
          <w:p w14:paraId="10F590D2" w14:textId="77777777" w:rsidR="001744EE" w:rsidRPr="0065574D" w:rsidRDefault="001744EE" w:rsidP="008F00D2">
            <w:pPr>
              <w:spacing w:after="0" w:line="240" w:lineRule="auto"/>
              <w:textAlignment w:val="baseline"/>
              <w:rPr>
                <w:rFonts w:ascii="Segoe UI" w:eastAsia="Times New Roman" w:hAnsi="Segoe UI" w:cs="Segoe UI"/>
                <w:color w:val="000000" w:themeColor="text1"/>
                <w:kern w:val="0"/>
                <w:sz w:val="18"/>
                <w:szCs w:val="18"/>
                <w:lang w:eastAsia="en-GB"/>
                <w14:ligatures w14:val="none"/>
              </w:rPr>
            </w:pPr>
            <w:r w:rsidRPr="0065574D">
              <w:rPr>
                <w:rFonts w:ascii="Arial" w:eastAsia="Times New Roman" w:hAnsi="Arial" w:cs="Arial"/>
                <w:color w:val="000000" w:themeColor="text1"/>
                <w:kern w:val="0"/>
                <w:lang w:eastAsia="en-GB"/>
                <w14:ligatures w14:val="none"/>
              </w:rPr>
              <w:t>In respect of each element of the Services identified in the question, the proposals fully explain how the relevant element will be delivered to the standards required, throughout the term. </w:t>
            </w:r>
          </w:p>
          <w:p w14:paraId="37C195B1" w14:textId="77777777" w:rsidR="001744EE" w:rsidRPr="0065574D" w:rsidRDefault="001744EE" w:rsidP="008F00D2">
            <w:pPr>
              <w:spacing w:after="0" w:line="240" w:lineRule="auto"/>
              <w:textAlignment w:val="baseline"/>
              <w:rPr>
                <w:rFonts w:ascii="Segoe UI" w:eastAsia="Times New Roman" w:hAnsi="Segoe UI" w:cs="Segoe UI"/>
                <w:color w:val="000000" w:themeColor="text1"/>
                <w:kern w:val="0"/>
                <w:sz w:val="18"/>
                <w:szCs w:val="18"/>
                <w:lang w:eastAsia="en-GB"/>
                <w14:ligatures w14:val="none"/>
              </w:rPr>
            </w:pPr>
            <w:r w:rsidRPr="0065574D">
              <w:rPr>
                <w:rFonts w:ascii="Arial" w:eastAsia="Times New Roman" w:hAnsi="Arial" w:cs="Arial"/>
                <w:color w:val="000000" w:themeColor="text1"/>
                <w:kern w:val="0"/>
                <w:lang w:eastAsia="en-GB"/>
                <w14:ligatures w14:val="none"/>
              </w:rPr>
              <w:t>The proposals are clear, precise and robust. </w:t>
            </w:r>
          </w:p>
          <w:p w14:paraId="18987322" w14:textId="6C9E4F02" w:rsidR="001744EE" w:rsidRPr="0065574D" w:rsidRDefault="001744EE" w:rsidP="008F00D2">
            <w:pPr>
              <w:spacing w:after="0" w:line="240" w:lineRule="auto"/>
              <w:textAlignment w:val="baseline"/>
              <w:rPr>
                <w:rFonts w:ascii="Segoe UI" w:eastAsia="Times New Roman" w:hAnsi="Segoe UI" w:cs="Segoe UI"/>
                <w:color w:val="000000" w:themeColor="text1"/>
                <w:kern w:val="0"/>
                <w:sz w:val="18"/>
                <w:szCs w:val="18"/>
                <w:lang w:eastAsia="en-GB"/>
                <w14:ligatures w14:val="none"/>
              </w:rPr>
            </w:pPr>
            <w:r w:rsidRPr="0065574D">
              <w:rPr>
                <w:rFonts w:ascii="Arial" w:eastAsia="Times New Roman" w:hAnsi="Arial" w:cs="Arial"/>
                <w:color w:val="000000" w:themeColor="text1"/>
                <w:kern w:val="0"/>
                <w:lang w:eastAsia="en-GB"/>
                <w14:ligatures w14:val="none"/>
              </w:rPr>
              <w:t xml:space="preserve">The explanation is sufficient to give the Combined Authority a high degree of confidence that all of the relevant aspects of the </w:t>
            </w:r>
            <w:r w:rsidR="00E43461" w:rsidRPr="0065574D">
              <w:rPr>
                <w:rFonts w:ascii="Arial" w:eastAsia="Times New Roman" w:hAnsi="Arial" w:cs="Arial"/>
                <w:color w:val="000000" w:themeColor="text1"/>
                <w:kern w:val="0"/>
                <w:lang w:eastAsia="en-GB"/>
                <w14:ligatures w14:val="none"/>
              </w:rPr>
              <w:t xml:space="preserve">Service Specification </w:t>
            </w:r>
            <w:r w:rsidRPr="0065574D">
              <w:rPr>
                <w:rFonts w:ascii="Arial" w:eastAsia="Times New Roman" w:hAnsi="Arial" w:cs="Arial"/>
                <w:color w:val="000000" w:themeColor="text1"/>
                <w:kern w:val="0"/>
                <w:lang w:eastAsia="en-GB"/>
                <w14:ligatures w14:val="none"/>
              </w:rPr>
              <w:t>will be delivered. </w:t>
            </w:r>
          </w:p>
        </w:tc>
      </w:tr>
      <w:tr w:rsidR="0065574D" w:rsidRPr="0065574D" w14:paraId="5B3087E0" w14:textId="77777777" w:rsidTr="008F00D2">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D562C96" w14:textId="59392C58" w:rsidR="001744EE" w:rsidRPr="0065574D" w:rsidRDefault="00E710F0" w:rsidP="008F00D2">
            <w:pPr>
              <w:spacing w:after="0" w:line="240" w:lineRule="auto"/>
              <w:textAlignment w:val="baseline"/>
              <w:rPr>
                <w:rFonts w:ascii="Segoe UI" w:eastAsia="Times New Roman" w:hAnsi="Segoe UI" w:cs="Segoe UI"/>
                <w:color w:val="000000" w:themeColor="text1"/>
                <w:kern w:val="0"/>
                <w:sz w:val="18"/>
                <w:szCs w:val="18"/>
                <w:lang w:eastAsia="en-GB"/>
                <w14:ligatures w14:val="none"/>
              </w:rPr>
            </w:pPr>
            <w:r w:rsidRPr="0065574D">
              <w:rPr>
                <w:rFonts w:ascii="Arial" w:eastAsia="Times New Roman" w:hAnsi="Arial" w:cs="Arial"/>
                <w:color w:val="000000" w:themeColor="text1"/>
                <w:kern w:val="0"/>
                <w:lang w:eastAsia="en-GB"/>
                <w14:ligatures w14:val="none"/>
              </w:rPr>
              <w:t>8</w:t>
            </w:r>
            <w:r w:rsidR="001744EE" w:rsidRPr="0065574D">
              <w:rPr>
                <w:rFonts w:ascii="Arial" w:eastAsia="Times New Roman" w:hAnsi="Arial" w:cs="Arial"/>
                <w:color w:val="000000" w:themeColor="text1"/>
                <w:kern w:val="0"/>
                <w:lang w:eastAsia="en-GB"/>
                <w14:ligatures w14:val="none"/>
              </w:rPr>
              <w:t> </w:t>
            </w:r>
          </w:p>
        </w:tc>
        <w:tc>
          <w:tcPr>
            <w:tcW w:w="8640" w:type="dxa"/>
            <w:tcBorders>
              <w:top w:val="single" w:sz="6" w:space="0" w:color="auto"/>
              <w:left w:val="single" w:sz="6" w:space="0" w:color="auto"/>
              <w:bottom w:val="single" w:sz="6" w:space="0" w:color="auto"/>
              <w:right w:val="single" w:sz="6" w:space="0" w:color="auto"/>
            </w:tcBorders>
            <w:shd w:val="clear" w:color="auto" w:fill="FFFFFF"/>
            <w:hideMark/>
          </w:tcPr>
          <w:p w14:paraId="2DF94B63" w14:textId="77777777" w:rsidR="001744EE" w:rsidRPr="0065574D" w:rsidRDefault="001744EE" w:rsidP="008F00D2">
            <w:pPr>
              <w:spacing w:after="0" w:line="240" w:lineRule="auto"/>
              <w:textAlignment w:val="baseline"/>
              <w:rPr>
                <w:rFonts w:ascii="Segoe UI" w:eastAsia="Times New Roman" w:hAnsi="Segoe UI" w:cs="Segoe UI"/>
                <w:color w:val="000000" w:themeColor="text1"/>
                <w:kern w:val="0"/>
                <w:sz w:val="18"/>
                <w:szCs w:val="18"/>
                <w:lang w:eastAsia="en-GB"/>
                <w14:ligatures w14:val="none"/>
              </w:rPr>
            </w:pPr>
            <w:r w:rsidRPr="0065574D">
              <w:rPr>
                <w:rFonts w:ascii="Arial" w:eastAsia="Times New Roman" w:hAnsi="Arial" w:cs="Arial"/>
                <w:color w:val="000000" w:themeColor="text1"/>
                <w:kern w:val="0"/>
                <w:lang w:eastAsia="en-GB"/>
                <w14:ligatures w14:val="none"/>
              </w:rPr>
              <w:t>In respect of each element of the Services identified in the question, the proposals explain how the relevant element will be delivered to the standards required, throughout the term. </w:t>
            </w:r>
          </w:p>
          <w:p w14:paraId="4FCDE716" w14:textId="77777777" w:rsidR="001744EE" w:rsidRPr="0065574D" w:rsidRDefault="001744EE" w:rsidP="008F00D2">
            <w:pPr>
              <w:spacing w:after="0" w:line="240" w:lineRule="auto"/>
              <w:textAlignment w:val="baseline"/>
              <w:rPr>
                <w:rFonts w:ascii="Segoe UI" w:eastAsia="Times New Roman" w:hAnsi="Segoe UI" w:cs="Segoe UI"/>
                <w:color w:val="000000" w:themeColor="text1"/>
                <w:kern w:val="0"/>
                <w:sz w:val="18"/>
                <w:szCs w:val="18"/>
                <w:lang w:eastAsia="en-GB"/>
                <w14:ligatures w14:val="none"/>
              </w:rPr>
            </w:pPr>
            <w:r w:rsidRPr="0065574D">
              <w:rPr>
                <w:rFonts w:ascii="Arial" w:eastAsia="Times New Roman" w:hAnsi="Arial" w:cs="Arial"/>
                <w:color w:val="000000" w:themeColor="text1"/>
                <w:kern w:val="0"/>
                <w:lang w:eastAsia="en-GB"/>
                <w14:ligatures w14:val="none"/>
              </w:rPr>
              <w:t>The proposals are clear, precise and robust. </w:t>
            </w:r>
          </w:p>
          <w:p w14:paraId="292713D4" w14:textId="4406C8AC" w:rsidR="001744EE" w:rsidRPr="0065574D" w:rsidRDefault="001744EE" w:rsidP="008F00D2">
            <w:pPr>
              <w:spacing w:after="0" w:line="240" w:lineRule="auto"/>
              <w:textAlignment w:val="baseline"/>
              <w:rPr>
                <w:rFonts w:ascii="Segoe UI" w:eastAsia="Times New Roman" w:hAnsi="Segoe UI" w:cs="Segoe UI"/>
                <w:color w:val="000000" w:themeColor="text1"/>
                <w:kern w:val="0"/>
                <w:sz w:val="18"/>
                <w:szCs w:val="18"/>
                <w:lang w:eastAsia="en-GB"/>
                <w14:ligatures w14:val="none"/>
              </w:rPr>
            </w:pPr>
            <w:r w:rsidRPr="0065574D">
              <w:rPr>
                <w:rFonts w:ascii="Arial" w:eastAsia="Times New Roman" w:hAnsi="Arial" w:cs="Arial"/>
                <w:color w:val="000000" w:themeColor="text1"/>
                <w:kern w:val="0"/>
                <w:lang w:eastAsia="en-GB"/>
                <w14:ligatures w14:val="none"/>
              </w:rPr>
              <w:t xml:space="preserve">The explanation is sufficient to give the Combined Authority a high degree of confidence that the relevant aspects of the </w:t>
            </w:r>
            <w:r w:rsidR="00D862B1" w:rsidRPr="0065574D">
              <w:rPr>
                <w:rFonts w:ascii="Arial" w:eastAsia="Times New Roman" w:hAnsi="Arial" w:cs="Arial"/>
                <w:color w:val="000000" w:themeColor="text1"/>
                <w:kern w:val="0"/>
                <w:lang w:eastAsia="en-GB"/>
                <w14:ligatures w14:val="none"/>
              </w:rPr>
              <w:t>Service Specification</w:t>
            </w:r>
            <w:r w:rsidRPr="0065574D">
              <w:rPr>
                <w:rFonts w:ascii="Arial" w:eastAsia="Times New Roman" w:hAnsi="Arial" w:cs="Arial"/>
                <w:color w:val="000000" w:themeColor="text1"/>
                <w:kern w:val="0"/>
                <w:lang w:eastAsia="en-GB"/>
                <w14:ligatures w14:val="none"/>
              </w:rPr>
              <w:t xml:space="preserve"> will, for the most part, be delivered. To the extent that the explanation is not sufficient to give the Combined Authority that high degree of confidence, the explanation does not raise concerns. </w:t>
            </w:r>
          </w:p>
        </w:tc>
      </w:tr>
      <w:tr w:rsidR="0065574D" w:rsidRPr="0065574D" w14:paraId="2437C360" w14:textId="77777777" w:rsidTr="008F00D2">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FD990BC" w14:textId="6B676490" w:rsidR="001744EE" w:rsidRPr="0065574D" w:rsidRDefault="00E710F0" w:rsidP="008F00D2">
            <w:pPr>
              <w:spacing w:after="0" w:line="240" w:lineRule="auto"/>
              <w:textAlignment w:val="baseline"/>
              <w:rPr>
                <w:rFonts w:ascii="Segoe UI" w:eastAsia="Times New Roman" w:hAnsi="Segoe UI" w:cs="Segoe UI"/>
                <w:color w:val="000000" w:themeColor="text1"/>
                <w:kern w:val="0"/>
                <w:sz w:val="18"/>
                <w:szCs w:val="18"/>
                <w:lang w:eastAsia="en-GB"/>
                <w14:ligatures w14:val="none"/>
              </w:rPr>
            </w:pPr>
            <w:r w:rsidRPr="0065574D">
              <w:rPr>
                <w:rFonts w:ascii="Arial" w:eastAsia="Times New Roman" w:hAnsi="Arial" w:cs="Arial"/>
                <w:color w:val="000000" w:themeColor="text1"/>
                <w:kern w:val="0"/>
                <w:lang w:eastAsia="en-GB"/>
                <w14:ligatures w14:val="none"/>
              </w:rPr>
              <w:t>6</w:t>
            </w:r>
            <w:r w:rsidR="001744EE" w:rsidRPr="0065574D">
              <w:rPr>
                <w:rFonts w:ascii="Arial" w:eastAsia="Times New Roman" w:hAnsi="Arial" w:cs="Arial"/>
                <w:color w:val="000000" w:themeColor="text1"/>
                <w:kern w:val="0"/>
                <w:lang w:eastAsia="en-GB"/>
                <w14:ligatures w14:val="none"/>
              </w:rPr>
              <w:t> </w:t>
            </w:r>
          </w:p>
        </w:tc>
        <w:tc>
          <w:tcPr>
            <w:tcW w:w="8640" w:type="dxa"/>
            <w:tcBorders>
              <w:top w:val="single" w:sz="6" w:space="0" w:color="auto"/>
              <w:left w:val="single" w:sz="6" w:space="0" w:color="auto"/>
              <w:bottom w:val="single" w:sz="6" w:space="0" w:color="auto"/>
              <w:right w:val="single" w:sz="6" w:space="0" w:color="auto"/>
            </w:tcBorders>
            <w:shd w:val="clear" w:color="auto" w:fill="FFFFFF"/>
            <w:hideMark/>
          </w:tcPr>
          <w:p w14:paraId="08927FE0" w14:textId="77777777" w:rsidR="001744EE" w:rsidRPr="0065574D" w:rsidRDefault="001744EE" w:rsidP="008F00D2">
            <w:pPr>
              <w:spacing w:after="0" w:line="240" w:lineRule="auto"/>
              <w:textAlignment w:val="baseline"/>
              <w:rPr>
                <w:rFonts w:ascii="Segoe UI" w:eastAsia="Times New Roman" w:hAnsi="Segoe UI" w:cs="Segoe UI"/>
                <w:color w:val="000000" w:themeColor="text1"/>
                <w:kern w:val="0"/>
                <w:sz w:val="18"/>
                <w:szCs w:val="18"/>
                <w:lang w:eastAsia="en-GB"/>
                <w14:ligatures w14:val="none"/>
              </w:rPr>
            </w:pPr>
            <w:r w:rsidRPr="0065574D">
              <w:rPr>
                <w:rFonts w:ascii="Arial" w:eastAsia="Times New Roman" w:hAnsi="Arial" w:cs="Arial"/>
                <w:color w:val="000000" w:themeColor="text1"/>
                <w:kern w:val="0"/>
                <w:lang w:eastAsia="en-GB"/>
                <w14:ligatures w14:val="none"/>
              </w:rPr>
              <w:t>In respect of each element of the Services identified in the question, the proposals explain, to some extent, how the relevant element will be delivered to the standards required, throughout the term. </w:t>
            </w:r>
          </w:p>
          <w:p w14:paraId="77406659" w14:textId="77777777" w:rsidR="001744EE" w:rsidRPr="0065574D" w:rsidRDefault="001744EE" w:rsidP="008F00D2">
            <w:pPr>
              <w:spacing w:after="0" w:line="240" w:lineRule="auto"/>
              <w:textAlignment w:val="baseline"/>
              <w:rPr>
                <w:rFonts w:ascii="Segoe UI" w:eastAsia="Times New Roman" w:hAnsi="Segoe UI" w:cs="Segoe UI"/>
                <w:color w:val="000000" w:themeColor="text1"/>
                <w:kern w:val="0"/>
                <w:sz w:val="18"/>
                <w:szCs w:val="18"/>
                <w:lang w:eastAsia="en-GB"/>
                <w14:ligatures w14:val="none"/>
              </w:rPr>
            </w:pPr>
            <w:r w:rsidRPr="0065574D">
              <w:rPr>
                <w:rFonts w:ascii="Arial" w:eastAsia="Times New Roman" w:hAnsi="Arial" w:cs="Arial"/>
                <w:color w:val="000000" w:themeColor="text1"/>
                <w:kern w:val="0"/>
                <w:lang w:eastAsia="en-GB"/>
                <w14:ligatures w14:val="none"/>
              </w:rPr>
              <w:t>The proposals are clear, but there are some concerns around precision and / or robustness.  </w:t>
            </w:r>
          </w:p>
          <w:p w14:paraId="7CA36A73" w14:textId="57A2C0E6" w:rsidR="001744EE" w:rsidRPr="0065574D" w:rsidRDefault="001744EE" w:rsidP="008F00D2">
            <w:pPr>
              <w:spacing w:after="0" w:line="240" w:lineRule="auto"/>
              <w:textAlignment w:val="baseline"/>
              <w:rPr>
                <w:rFonts w:ascii="Segoe UI" w:eastAsia="Times New Roman" w:hAnsi="Segoe UI" w:cs="Segoe UI"/>
                <w:color w:val="000000" w:themeColor="text1"/>
                <w:kern w:val="0"/>
                <w:sz w:val="18"/>
                <w:szCs w:val="18"/>
                <w:lang w:eastAsia="en-GB"/>
                <w14:ligatures w14:val="none"/>
              </w:rPr>
            </w:pPr>
            <w:r w:rsidRPr="0065574D">
              <w:rPr>
                <w:rFonts w:ascii="Arial" w:eastAsia="Times New Roman" w:hAnsi="Arial" w:cs="Arial"/>
                <w:color w:val="000000" w:themeColor="text1"/>
                <w:kern w:val="0"/>
                <w:lang w:eastAsia="en-GB"/>
                <w14:ligatures w14:val="none"/>
              </w:rPr>
              <w:t xml:space="preserve">The explanation is sufficient to give the Combined Authority confidence that the relevant aspects of the </w:t>
            </w:r>
            <w:r w:rsidR="00D862B1" w:rsidRPr="0065574D">
              <w:rPr>
                <w:rFonts w:ascii="Arial" w:eastAsia="Times New Roman" w:hAnsi="Arial" w:cs="Arial"/>
                <w:color w:val="000000" w:themeColor="text1"/>
                <w:kern w:val="0"/>
                <w:lang w:eastAsia="en-GB"/>
                <w14:ligatures w14:val="none"/>
              </w:rPr>
              <w:t>Service Specification</w:t>
            </w:r>
            <w:r w:rsidRPr="0065574D">
              <w:rPr>
                <w:rFonts w:ascii="Arial" w:eastAsia="Times New Roman" w:hAnsi="Arial" w:cs="Arial"/>
                <w:color w:val="000000" w:themeColor="text1"/>
                <w:kern w:val="0"/>
                <w:lang w:eastAsia="en-GB"/>
                <w14:ligatures w14:val="none"/>
              </w:rPr>
              <w:t xml:space="preserve"> will, for the most part, be delivered. To the extent that the explanation is not sufficient to give the Combined Authority that confidence, the explanation raises one or more concerns but no material concerns. </w:t>
            </w:r>
          </w:p>
        </w:tc>
      </w:tr>
      <w:tr w:rsidR="0065574D" w:rsidRPr="0065574D" w14:paraId="1378D303" w14:textId="77777777" w:rsidTr="008F00D2">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0A4F0E9F" w14:textId="5BB8A389" w:rsidR="001744EE" w:rsidRPr="0065574D" w:rsidRDefault="00E710F0" w:rsidP="008F00D2">
            <w:pPr>
              <w:spacing w:after="0" w:line="240" w:lineRule="auto"/>
              <w:textAlignment w:val="baseline"/>
              <w:rPr>
                <w:rFonts w:ascii="Segoe UI" w:eastAsia="Times New Roman" w:hAnsi="Segoe UI" w:cs="Segoe UI"/>
                <w:color w:val="000000" w:themeColor="text1"/>
                <w:kern w:val="0"/>
                <w:sz w:val="18"/>
                <w:szCs w:val="18"/>
                <w:lang w:eastAsia="en-GB"/>
                <w14:ligatures w14:val="none"/>
              </w:rPr>
            </w:pPr>
            <w:r w:rsidRPr="0065574D">
              <w:rPr>
                <w:rFonts w:ascii="Arial" w:eastAsia="Times New Roman" w:hAnsi="Arial" w:cs="Arial"/>
                <w:color w:val="000000" w:themeColor="text1"/>
                <w:kern w:val="0"/>
                <w:lang w:eastAsia="en-GB"/>
                <w14:ligatures w14:val="none"/>
              </w:rPr>
              <w:t>4</w:t>
            </w:r>
            <w:r w:rsidR="001744EE" w:rsidRPr="0065574D">
              <w:rPr>
                <w:rFonts w:ascii="Arial" w:eastAsia="Times New Roman" w:hAnsi="Arial" w:cs="Arial"/>
                <w:color w:val="000000" w:themeColor="text1"/>
                <w:kern w:val="0"/>
                <w:lang w:eastAsia="en-GB"/>
                <w14:ligatures w14:val="none"/>
              </w:rPr>
              <w:t> </w:t>
            </w:r>
          </w:p>
        </w:tc>
        <w:tc>
          <w:tcPr>
            <w:tcW w:w="8640" w:type="dxa"/>
            <w:tcBorders>
              <w:top w:val="single" w:sz="6" w:space="0" w:color="auto"/>
              <w:left w:val="single" w:sz="6" w:space="0" w:color="auto"/>
              <w:bottom w:val="single" w:sz="6" w:space="0" w:color="auto"/>
              <w:right w:val="single" w:sz="6" w:space="0" w:color="auto"/>
            </w:tcBorders>
            <w:shd w:val="clear" w:color="auto" w:fill="FFFFFF"/>
            <w:hideMark/>
          </w:tcPr>
          <w:p w14:paraId="15F0ADF3" w14:textId="77777777" w:rsidR="001744EE" w:rsidRPr="0065574D" w:rsidRDefault="001744EE" w:rsidP="008F00D2">
            <w:pPr>
              <w:spacing w:after="0" w:line="240" w:lineRule="auto"/>
              <w:textAlignment w:val="baseline"/>
              <w:rPr>
                <w:rFonts w:ascii="Segoe UI" w:eastAsia="Times New Roman" w:hAnsi="Segoe UI" w:cs="Segoe UI"/>
                <w:color w:val="000000" w:themeColor="text1"/>
                <w:kern w:val="0"/>
                <w:sz w:val="18"/>
                <w:szCs w:val="18"/>
                <w:lang w:eastAsia="en-GB"/>
                <w14:ligatures w14:val="none"/>
              </w:rPr>
            </w:pPr>
            <w:r w:rsidRPr="0065574D">
              <w:rPr>
                <w:rFonts w:ascii="Arial" w:eastAsia="Times New Roman" w:hAnsi="Arial" w:cs="Arial"/>
                <w:color w:val="000000" w:themeColor="text1"/>
                <w:kern w:val="0"/>
                <w:lang w:eastAsia="en-GB"/>
                <w14:ligatures w14:val="none"/>
              </w:rPr>
              <w:t>In respect of each element of the Services identified in the question, the proposals explain, to some extent, how the relevant element will be delivered to the standards required, throughout the term, but for certain elements the explanation is very limited. </w:t>
            </w:r>
          </w:p>
          <w:p w14:paraId="4D4E01FE" w14:textId="77777777" w:rsidR="001744EE" w:rsidRPr="0065574D" w:rsidRDefault="001744EE" w:rsidP="008F00D2">
            <w:pPr>
              <w:spacing w:after="0" w:line="240" w:lineRule="auto"/>
              <w:textAlignment w:val="baseline"/>
              <w:rPr>
                <w:rFonts w:ascii="Segoe UI" w:eastAsia="Times New Roman" w:hAnsi="Segoe UI" w:cs="Segoe UI"/>
                <w:color w:val="000000" w:themeColor="text1"/>
                <w:kern w:val="0"/>
                <w:sz w:val="18"/>
                <w:szCs w:val="18"/>
                <w:lang w:eastAsia="en-GB"/>
                <w14:ligatures w14:val="none"/>
              </w:rPr>
            </w:pPr>
            <w:r w:rsidRPr="0065574D">
              <w:rPr>
                <w:rFonts w:ascii="Arial" w:eastAsia="Times New Roman" w:hAnsi="Arial" w:cs="Arial"/>
                <w:color w:val="000000" w:themeColor="text1"/>
                <w:kern w:val="0"/>
                <w:lang w:eastAsia="en-GB"/>
                <w14:ligatures w14:val="none"/>
              </w:rPr>
              <w:t>There are concerns around the clarity, and around the precision and / or robustness, of the proposals.  </w:t>
            </w:r>
          </w:p>
          <w:p w14:paraId="44AF4863" w14:textId="3B2B1B36" w:rsidR="001744EE" w:rsidRPr="0065574D" w:rsidRDefault="001744EE" w:rsidP="008F00D2">
            <w:pPr>
              <w:spacing w:after="0" w:line="240" w:lineRule="auto"/>
              <w:textAlignment w:val="baseline"/>
              <w:rPr>
                <w:rFonts w:ascii="Segoe UI" w:eastAsia="Times New Roman" w:hAnsi="Segoe UI" w:cs="Segoe UI"/>
                <w:color w:val="000000" w:themeColor="text1"/>
                <w:kern w:val="0"/>
                <w:sz w:val="18"/>
                <w:szCs w:val="18"/>
                <w:lang w:eastAsia="en-GB"/>
                <w14:ligatures w14:val="none"/>
              </w:rPr>
            </w:pPr>
            <w:r w:rsidRPr="0065574D">
              <w:rPr>
                <w:rFonts w:ascii="Arial" w:eastAsia="Times New Roman" w:hAnsi="Arial" w:cs="Arial"/>
                <w:color w:val="000000" w:themeColor="text1"/>
                <w:kern w:val="0"/>
                <w:lang w:eastAsia="en-GB"/>
                <w14:ligatures w14:val="none"/>
              </w:rPr>
              <w:t xml:space="preserve">The explanation is sufficient to give the Combined Authority confidence that the relevant aspects of the </w:t>
            </w:r>
            <w:r w:rsidR="00D862B1" w:rsidRPr="0065574D">
              <w:rPr>
                <w:rFonts w:ascii="Arial" w:eastAsia="Times New Roman" w:hAnsi="Arial" w:cs="Arial"/>
                <w:color w:val="000000" w:themeColor="text1"/>
                <w:kern w:val="0"/>
                <w:lang w:eastAsia="en-GB"/>
                <w14:ligatures w14:val="none"/>
              </w:rPr>
              <w:t>Service Specification</w:t>
            </w:r>
            <w:r w:rsidRPr="0065574D">
              <w:rPr>
                <w:rFonts w:ascii="Arial" w:eastAsia="Times New Roman" w:hAnsi="Arial" w:cs="Arial"/>
                <w:color w:val="000000" w:themeColor="text1"/>
                <w:kern w:val="0"/>
                <w:lang w:eastAsia="en-GB"/>
                <w14:ligatures w14:val="none"/>
              </w:rPr>
              <w:t xml:space="preserve"> will be delivered to some extent. To the extent that the explanation is not sufficient to give the Combined Authority that confidence, the explanation raises one or more concerns, one of which is a material concern. </w:t>
            </w:r>
          </w:p>
        </w:tc>
      </w:tr>
      <w:tr w:rsidR="0065574D" w:rsidRPr="0065574D" w14:paraId="53D855A5" w14:textId="77777777" w:rsidTr="008F00D2">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D43D3C9" w14:textId="5F1E4622" w:rsidR="001744EE" w:rsidRPr="0065574D" w:rsidRDefault="00E710F0" w:rsidP="008F00D2">
            <w:pPr>
              <w:spacing w:after="0" w:line="240" w:lineRule="auto"/>
              <w:textAlignment w:val="baseline"/>
              <w:rPr>
                <w:rFonts w:ascii="Segoe UI" w:eastAsia="Times New Roman" w:hAnsi="Segoe UI" w:cs="Segoe UI"/>
                <w:color w:val="000000" w:themeColor="text1"/>
                <w:kern w:val="0"/>
                <w:sz w:val="18"/>
                <w:szCs w:val="18"/>
                <w:lang w:eastAsia="en-GB"/>
                <w14:ligatures w14:val="none"/>
              </w:rPr>
            </w:pPr>
            <w:r w:rsidRPr="0065574D">
              <w:rPr>
                <w:rFonts w:ascii="Arial" w:eastAsia="Times New Roman" w:hAnsi="Arial" w:cs="Arial"/>
                <w:color w:val="000000" w:themeColor="text1"/>
                <w:kern w:val="0"/>
                <w:lang w:eastAsia="en-GB"/>
                <w14:ligatures w14:val="none"/>
              </w:rPr>
              <w:t>2</w:t>
            </w:r>
            <w:r w:rsidR="001744EE" w:rsidRPr="0065574D">
              <w:rPr>
                <w:rFonts w:ascii="Arial" w:eastAsia="Times New Roman" w:hAnsi="Arial" w:cs="Arial"/>
                <w:color w:val="000000" w:themeColor="text1"/>
                <w:kern w:val="0"/>
                <w:lang w:eastAsia="en-GB"/>
                <w14:ligatures w14:val="none"/>
              </w:rPr>
              <w:t> </w:t>
            </w:r>
          </w:p>
        </w:tc>
        <w:tc>
          <w:tcPr>
            <w:tcW w:w="8640" w:type="dxa"/>
            <w:tcBorders>
              <w:top w:val="single" w:sz="6" w:space="0" w:color="auto"/>
              <w:left w:val="single" w:sz="6" w:space="0" w:color="auto"/>
              <w:bottom w:val="single" w:sz="6" w:space="0" w:color="auto"/>
              <w:right w:val="single" w:sz="6" w:space="0" w:color="auto"/>
            </w:tcBorders>
            <w:shd w:val="clear" w:color="auto" w:fill="FFFFFF"/>
            <w:hideMark/>
          </w:tcPr>
          <w:p w14:paraId="4E209A9D" w14:textId="7BFEE663" w:rsidR="001744EE" w:rsidRPr="0065574D" w:rsidRDefault="001744EE" w:rsidP="008F00D2">
            <w:pPr>
              <w:spacing w:after="0" w:line="240" w:lineRule="auto"/>
              <w:textAlignment w:val="baseline"/>
              <w:rPr>
                <w:rFonts w:ascii="Segoe UI" w:eastAsia="Times New Roman" w:hAnsi="Segoe UI" w:cs="Segoe UI"/>
                <w:color w:val="000000" w:themeColor="text1"/>
                <w:kern w:val="0"/>
                <w:sz w:val="18"/>
                <w:szCs w:val="18"/>
                <w:lang w:eastAsia="en-GB"/>
                <w14:ligatures w14:val="none"/>
              </w:rPr>
            </w:pPr>
            <w:r w:rsidRPr="0065574D">
              <w:rPr>
                <w:rFonts w:ascii="Arial" w:eastAsia="Times New Roman" w:hAnsi="Arial" w:cs="Arial"/>
                <w:color w:val="000000" w:themeColor="text1"/>
                <w:kern w:val="0"/>
                <w:lang w:eastAsia="en-GB"/>
                <w14:ligatures w14:val="none"/>
              </w:rPr>
              <w:t xml:space="preserve">In respect of one or more elements of the Services identified in the question, the proposals fail to explain to any extent how the relevant element will be delivered to the standards required, throughout the term; and / or the proposals are mainly or wholly unclear; and / or the explanation is insufficient to give the Combined Authority confidence that the relevant aspects of the </w:t>
            </w:r>
            <w:r w:rsidR="00D862B1" w:rsidRPr="0065574D">
              <w:rPr>
                <w:rFonts w:ascii="Arial" w:eastAsia="Times New Roman" w:hAnsi="Arial" w:cs="Arial"/>
                <w:color w:val="000000" w:themeColor="text1"/>
                <w:kern w:val="0"/>
                <w:lang w:eastAsia="en-GB"/>
                <w14:ligatures w14:val="none"/>
              </w:rPr>
              <w:t>Service Specification</w:t>
            </w:r>
            <w:r w:rsidRPr="0065574D">
              <w:rPr>
                <w:rFonts w:ascii="Arial" w:eastAsia="Times New Roman" w:hAnsi="Arial" w:cs="Arial"/>
                <w:color w:val="000000" w:themeColor="text1"/>
                <w:kern w:val="0"/>
                <w:lang w:eastAsia="en-GB"/>
                <w14:ligatures w14:val="none"/>
              </w:rPr>
              <w:t xml:space="preserve"> will be delivered and / or the explanation for any one or more of the elements raises multiple material concerns. </w:t>
            </w:r>
          </w:p>
        </w:tc>
      </w:tr>
      <w:tr w:rsidR="0065574D" w:rsidRPr="0065574D" w14:paraId="42CD717A" w14:textId="77777777" w:rsidTr="008F00D2">
        <w:trPr>
          <w:trHeight w:val="300"/>
        </w:trPr>
        <w:tc>
          <w:tcPr>
            <w:tcW w:w="169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2D5A8843" w14:textId="5C73CF6C" w:rsidR="001744EE" w:rsidRPr="0065574D" w:rsidRDefault="001744EE" w:rsidP="008F00D2">
            <w:pPr>
              <w:spacing w:after="0" w:line="240" w:lineRule="auto"/>
              <w:textAlignment w:val="baseline"/>
              <w:rPr>
                <w:rFonts w:ascii="Segoe UI" w:eastAsia="Times New Roman" w:hAnsi="Segoe UI" w:cs="Segoe UI"/>
                <w:color w:val="000000" w:themeColor="text1"/>
                <w:kern w:val="0"/>
                <w:sz w:val="18"/>
                <w:szCs w:val="18"/>
                <w:lang w:eastAsia="en-GB"/>
                <w14:ligatures w14:val="none"/>
              </w:rPr>
            </w:pPr>
            <w:r w:rsidRPr="0065574D">
              <w:rPr>
                <w:rFonts w:ascii="Arial" w:eastAsia="Times New Roman" w:hAnsi="Arial" w:cs="Arial"/>
                <w:color w:val="000000" w:themeColor="text1"/>
                <w:kern w:val="0"/>
                <w:lang w:eastAsia="en-GB"/>
                <w14:ligatures w14:val="none"/>
              </w:rPr>
              <w:t>0</w:t>
            </w:r>
          </w:p>
        </w:tc>
        <w:tc>
          <w:tcPr>
            <w:tcW w:w="8640" w:type="dxa"/>
            <w:tcBorders>
              <w:top w:val="single" w:sz="6" w:space="0" w:color="auto"/>
              <w:left w:val="single" w:sz="6" w:space="0" w:color="auto"/>
              <w:bottom w:val="single" w:sz="6" w:space="0" w:color="auto"/>
              <w:right w:val="single" w:sz="6" w:space="0" w:color="auto"/>
            </w:tcBorders>
            <w:shd w:val="clear" w:color="auto" w:fill="FFFFFF"/>
            <w:hideMark/>
          </w:tcPr>
          <w:p w14:paraId="052A4CB5" w14:textId="77777777" w:rsidR="001744EE" w:rsidRPr="0065574D" w:rsidRDefault="001744EE" w:rsidP="008F00D2">
            <w:pPr>
              <w:spacing w:after="0" w:line="240" w:lineRule="auto"/>
              <w:textAlignment w:val="baseline"/>
              <w:rPr>
                <w:rFonts w:ascii="Segoe UI" w:eastAsia="Times New Roman" w:hAnsi="Segoe UI" w:cs="Segoe UI"/>
                <w:color w:val="000000" w:themeColor="text1"/>
                <w:kern w:val="0"/>
                <w:sz w:val="18"/>
                <w:szCs w:val="18"/>
                <w:lang w:eastAsia="en-GB"/>
                <w14:ligatures w14:val="none"/>
              </w:rPr>
            </w:pPr>
            <w:r w:rsidRPr="0065574D">
              <w:rPr>
                <w:rFonts w:ascii="Arial" w:eastAsia="Times New Roman" w:hAnsi="Arial" w:cs="Arial"/>
                <w:color w:val="000000" w:themeColor="text1"/>
                <w:kern w:val="0"/>
                <w:lang w:eastAsia="en-GB"/>
                <w14:ligatures w14:val="none"/>
              </w:rPr>
              <w:t>No response or response is irrelevant to the question asked. </w:t>
            </w:r>
          </w:p>
        </w:tc>
      </w:tr>
    </w:tbl>
    <w:p w14:paraId="2B4A7FC6" w14:textId="77777777" w:rsidR="0006453B" w:rsidRPr="0065574D" w:rsidRDefault="0006453B" w:rsidP="008A6C68">
      <w:pPr>
        <w:pStyle w:val="ListBullet"/>
        <w:numPr>
          <w:ilvl w:val="0"/>
          <w:numId w:val="0"/>
        </w:numPr>
        <w:rPr>
          <w:rFonts w:ascii="Arial" w:hAnsi="Arial" w:cs="Arial"/>
          <w:color w:val="000000" w:themeColor="text1"/>
        </w:rPr>
      </w:pPr>
    </w:p>
    <w:sectPr w:rsidR="0006453B" w:rsidRPr="0065574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20883" w14:textId="77777777" w:rsidR="003D4CB1" w:rsidRDefault="003D4CB1" w:rsidP="00092394">
      <w:pPr>
        <w:spacing w:after="0" w:line="240" w:lineRule="auto"/>
      </w:pPr>
      <w:r>
        <w:separator/>
      </w:r>
    </w:p>
  </w:endnote>
  <w:endnote w:type="continuationSeparator" w:id="0">
    <w:p w14:paraId="14DA170E" w14:textId="77777777" w:rsidR="003D4CB1" w:rsidRDefault="003D4CB1" w:rsidP="00092394">
      <w:pPr>
        <w:spacing w:after="0" w:line="240" w:lineRule="auto"/>
      </w:pPr>
      <w:r>
        <w:continuationSeparator/>
      </w:r>
    </w:p>
  </w:endnote>
  <w:endnote w:type="continuationNotice" w:id="1">
    <w:p w14:paraId="3115020A" w14:textId="77777777" w:rsidR="003D4CB1" w:rsidRDefault="003D4C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9407232"/>
      <w:docPartObj>
        <w:docPartGallery w:val="Page Numbers (Bottom of Page)"/>
        <w:docPartUnique/>
      </w:docPartObj>
    </w:sdtPr>
    <w:sdtEndPr>
      <w:rPr>
        <w:noProof/>
      </w:rPr>
    </w:sdtEndPr>
    <w:sdtContent>
      <w:p w14:paraId="4915A371" w14:textId="6357DF06" w:rsidR="00092394" w:rsidRDefault="0009239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B17AE6" w14:textId="77777777" w:rsidR="00092394" w:rsidRDefault="00092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C1EE8" w14:textId="77777777" w:rsidR="003D4CB1" w:rsidRDefault="003D4CB1" w:rsidP="00092394">
      <w:pPr>
        <w:spacing w:after="0" w:line="240" w:lineRule="auto"/>
      </w:pPr>
      <w:r>
        <w:separator/>
      </w:r>
    </w:p>
  </w:footnote>
  <w:footnote w:type="continuationSeparator" w:id="0">
    <w:p w14:paraId="3ABC9374" w14:textId="77777777" w:rsidR="003D4CB1" w:rsidRDefault="003D4CB1" w:rsidP="00092394">
      <w:pPr>
        <w:spacing w:after="0" w:line="240" w:lineRule="auto"/>
      </w:pPr>
      <w:r>
        <w:continuationSeparator/>
      </w:r>
    </w:p>
  </w:footnote>
  <w:footnote w:type="continuationNotice" w:id="1">
    <w:p w14:paraId="74F96F31" w14:textId="77777777" w:rsidR="003D4CB1" w:rsidRDefault="003D4C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728D8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7E56EE"/>
    <w:multiLevelType w:val="hybridMultilevel"/>
    <w:tmpl w:val="CB72803C"/>
    <w:lvl w:ilvl="0" w:tplc="0004F43A">
      <w:start w:val="1"/>
      <w:numFmt w:val="bullet"/>
      <w:lvlText w:val=""/>
      <w:lvlJc w:val="left"/>
      <w:pPr>
        <w:ind w:left="720" w:hanging="360"/>
      </w:pPr>
      <w:rPr>
        <w:rFonts w:ascii="Symbol" w:hAnsi="Symbol" w:hint="default"/>
      </w:rPr>
    </w:lvl>
    <w:lvl w:ilvl="1" w:tplc="F7C24E3A">
      <w:start w:val="1"/>
      <w:numFmt w:val="bullet"/>
      <w:lvlText w:val="o"/>
      <w:lvlJc w:val="left"/>
      <w:pPr>
        <w:ind w:left="1440" w:hanging="360"/>
      </w:pPr>
      <w:rPr>
        <w:rFonts w:ascii="Courier New" w:hAnsi="Courier New" w:hint="default"/>
      </w:rPr>
    </w:lvl>
    <w:lvl w:ilvl="2" w:tplc="93C44B50">
      <w:start w:val="1"/>
      <w:numFmt w:val="bullet"/>
      <w:lvlText w:val=""/>
      <w:lvlJc w:val="left"/>
      <w:pPr>
        <w:ind w:left="2160" w:hanging="360"/>
      </w:pPr>
      <w:rPr>
        <w:rFonts w:ascii="Wingdings" w:hAnsi="Wingdings" w:hint="default"/>
      </w:rPr>
    </w:lvl>
    <w:lvl w:ilvl="3" w:tplc="A44A23B2">
      <w:start w:val="1"/>
      <w:numFmt w:val="bullet"/>
      <w:lvlText w:val=""/>
      <w:lvlJc w:val="left"/>
      <w:pPr>
        <w:ind w:left="2880" w:hanging="360"/>
      </w:pPr>
      <w:rPr>
        <w:rFonts w:ascii="Symbol" w:hAnsi="Symbol" w:hint="default"/>
      </w:rPr>
    </w:lvl>
    <w:lvl w:ilvl="4" w:tplc="C9CC3754">
      <w:start w:val="1"/>
      <w:numFmt w:val="bullet"/>
      <w:lvlText w:val="o"/>
      <w:lvlJc w:val="left"/>
      <w:pPr>
        <w:ind w:left="3600" w:hanging="360"/>
      </w:pPr>
      <w:rPr>
        <w:rFonts w:ascii="Courier New" w:hAnsi="Courier New" w:hint="default"/>
      </w:rPr>
    </w:lvl>
    <w:lvl w:ilvl="5" w:tplc="18AA8BEE">
      <w:start w:val="1"/>
      <w:numFmt w:val="bullet"/>
      <w:lvlText w:val=""/>
      <w:lvlJc w:val="left"/>
      <w:pPr>
        <w:ind w:left="4320" w:hanging="360"/>
      </w:pPr>
      <w:rPr>
        <w:rFonts w:ascii="Wingdings" w:hAnsi="Wingdings" w:hint="default"/>
      </w:rPr>
    </w:lvl>
    <w:lvl w:ilvl="6" w:tplc="C548E036">
      <w:start w:val="1"/>
      <w:numFmt w:val="bullet"/>
      <w:lvlText w:val=""/>
      <w:lvlJc w:val="left"/>
      <w:pPr>
        <w:ind w:left="5040" w:hanging="360"/>
      </w:pPr>
      <w:rPr>
        <w:rFonts w:ascii="Symbol" w:hAnsi="Symbol" w:hint="default"/>
      </w:rPr>
    </w:lvl>
    <w:lvl w:ilvl="7" w:tplc="043CB218">
      <w:start w:val="1"/>
      <w:numFmt w:val="bullet"/>
      <w:lvlText w:val="o"/>
      <w:lvlJc w:val="left"/>
      <w:pPr>
        <w:ind w:left="5760" w:hanging="360"/>
      </w:pPr>
      <w:rPr>
        <w:rFonts w:ascii="Courier New" w:hAnsi="Courier New" w:hint="default"/>
      </w:rPr>
    </w:lvl>
    <w:lvl w:ilvl="8" w:tplc="D5C44A8A">
      <w:start w:val="1"/>
      <w:numFmt w:val="bullet"/>
      <w:lvlText w:val=""/>
      <w:lvlJc w:val="left"/>
      <w:pPr>
        <w:ind w:left="6480" w:hanging="360"/>
      </w:pPr>
      <w:rPr>
        <w:rFonts w:ascii="Wingdings" w:hAnsi="Wingdings" w:hint="default"/>
      </w:rPr>
    </w:lvl>
  </w:abstractNum>
  <w:abstractNum w:abstractNumId="2" w15:restartNumberingAfterBreak="0">
    <w:nsid w:val="0D2E4BF8"/>
    <w:multiLevelType w:val="hybridMultilevel"/>
    <w:tmpl w:val="419C7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BB19A3"/>
    <w:multiLevelType w:val="hybridMultilevel"/>
    <w:tmpl w:val="83C45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8A2042"/>
    <w:multiLevelType w:val="hybridMultilevel"/>
    <w:tmpl w:val="75829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1D75EC"/>
    <w:multiLevelType w:val="hybridMultilevel"/>
    <w:tmpl w:val="7C28B1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C632EA"/>
    <w:multiLevelType w:val="hybridMultilevel"/>
    <w:tmpl w:val="DCA06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2C1E61"/>
    <w:multiLevelType w:val="hybridMultilevel"/>
    <w:tmpl w:val="6DA24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A269A"/>
    <w:multiLevelType w:val="hybridMultilevel"/>
    <w:tmpl w:val="331C3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BB47CA"/>
    <w:multiLevelType w:val="hybridMultilevel"/>
    <w:tmpl w:val="B0D0BF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E16E3B"/>
    <w:multiLevelType w:val="hybridMultilevel"/>
    <w:tmpl w:val="49DE5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A66342"/>
    <w:multiLevelType w:val="hybridMultilevel"/>
    <w:tmpl w:val="3EE08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6E0CBF"/>
    <w:multiLevelType w:val="hybridMultilevel"/>
    <w:tmpl w:val="6BD09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4237B9"/>
    <w:multiLevelType w:val="hybridMultilevel"/>
    <w:tmpl w:val="F354A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6D55DB"/>
    <w:multiLevelType w:val="hybridMultilevel"/>
    <w:tmpl w:val="E7A89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AC3B8B"/>
    <w:multiLevelType w:val="hybridMultilevel"/>
    <w:tmpl w:val="EDA44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6A9734"/>
    <w:multiLevelType w:val="hybridMultilevel"/>
    <w:tmpl w:val="FFFFFFFF"/>
    <w:lvl w:ilvl="0" w:tplc="182CC902">
      <w:start w:val="1"/>
      <w:numFmt w:val="bullet"/>
      <w:lvlText w:val=""/>
      <w:lvlJc w:val="left"/>
      <w:pPr>
        <w:ind w:left="720" w:hanging="360"/>
      </w:pPr>
      <w:rPr>
        <w:rFonts w:ascii="Symbol" w:hAnsi="Symbol" w:hint="default"/>
      </w:rPr>
    </w:lvl>
    <w:lvl w:ilvl="1" w:tplc="DB84FE88">
      <w:start w:val="1"/>
      <w:numFmt w:val="bullet"/>
      <w:lvlText w:val="o"/>
      <w:lvlJc w:val="left"/>
      <w:pPr>
        <w:ind w:left="1440" w:hanging="360"/>
      </w:pPr>
      <w:rPr>
        <w:rFonts w:ascii="Courier New" w:hAnsi="Courier New" w:hint="default"/>
      </w:rPr>
    </w:lvl>
    <w:lvl w:ilvl="2" w:tplc="72F8F3E6">
      <w:start w:val="1"/>
      <w:numFmt w:val="bullet"/>
      <w:lvlText w:val=""/>
      <w:lvlJc w:val="left"/>
      <w:pPr>
        <w:ind w:left="2160" w:hanging="360"/>
      </w:pPr>
      <w:rPr>
        <w:rFonts w:ascii="Wingdings" w:hAnsi="Wingdings" w:hint="default"/>
      </w:rPr>
    </w:lvl>
    <w:lvl w:ilvl="3" w:tplc="4D88F070">
      <w:start w:val="1"/>
      <w:numFmt w:val="bullet"/>
      <w:lvlText w:val=""/>
      <w:lvlJc w:val="left"/>
      <w:pPr>
        <w:ind w:left="2880" w:hanging="360"/>
      </w:pPr>
      <w:rPr>
        <w:rFonts w:ascii="Symbol" w:hAnsi="Symbol" w:hint="default"/>
      </w:rPr>
    </w:lvl>
    <w:lvl w:ilvl="4" w:tplc="879A847E">
      <w:start w:val="1"/>
      <w:numFmt w:val="bullet"/>
      <w:lvlText w:val="o"/>
      <w:lvlJc w:val="left"/>
      <w:pPr>
        <w:ind w:left="3600" w:hanging="360"/>
      </w:pPr>
      <w:rPr>
        <w:rFonts w:ascii="Courier New" w:hAnsi="Courier New" w:hint="default"/>
      </w:rPr>
    </w:lvl>
    <w:lvl w:ilvl="5" w:tplc="368E5018">
      <w:start w:val="1"/>
      <w:numFmt w:val="bullet"/>
      <w:lvlText w:val=""/>
      <w:lvlJc w:val="left"/>
      <w:pPr>
        <w:ind w:left="4320" w:hanging="360"/>
      </w:pPr>
      <w:rPr>
        <w:rFonts w:ascii="Wingdings" w:hAnsi="Wingdings" w:hint="default"/>
      </w:rPr>
    </w:lvl>
    <w:lvl w:ilvl="6" w:tplc="276E16D2">
      <w:start w:val="1"/>
      <w:numFmt w:val="bullet"/>
      <w:lvlText w:val=""/>
      <w:lvlJc w:val="left"/>
      <w:pPr>
        <w:ind w:left="5040" w:hanging="360"/>
      </w:pPr>
      <w:rPr>
        <w:rFonts w:ascii="Symbol" w:hAnsi="Symbol" w:hint="default"/>
      </w:rPr>
    </w:lvl>
    <w:lvl w:ilvl="7" w:tplc="C27CAB5C">
      <w:start w:val="1"/>
      <w:numFmt w:val="bullet"/>
      <w:lvlText w:val="o"/>
      <w:lvlJc w:val="left"/>
      <w:pPr>
        <w:ind w:left="5760" w:hanging="360"/>
      </w:pPr>
      <w:rPr>
        <w:rFonts w:ascii="Courier New" w:hAnsi="Courier New" w:hint="default"/>
      </w:rPr>
    </w:lvl>
    <w:lvl w:ilvl="8" w:tplc="841246A4">
      <w:start w:val="1"/>
      <w:numFmt w:val="bullet"/>
      <w:lvlText w:val=""/>
      <w:lvlJc w:val="left"/>
      <w:pPr>
        <w:ind w:left="6480" w:hanging="360"/>
      </w:pPr>
      <w:rPr>
        <w:rFonts w:ascii="Wingdings" w:hAnsi="Wingdings" w:hint="default"/>
      </w:rPr>
    </w:lvl>
  </w:abstractNum>
  <w:num w:numId="1" w16cid:durableId="1531138168">
    <w:abstractNumId w:val="1"/>
  </w:num>
  <w:num w:numId="2" w16cid:durableId="9141404">
    <w:abstractNumId w:val="16"/>
  </w:num>
  <w:num w:numId="3" w16cid:durableId="1619682959">
    <w:abstractNumId w:val="9"/>
  </w:num>
  <w:num w:numId="4" w16cid:durableId="1399480897">
    <w:abstractNumId w:val="5"/>
  </w:num>
  <w:num w:numId="5" w16cid:durableId="2089619462">
    <w:abstractNumId w:val="0"/>
  </w:num>
  <w:num w:numId="6" w16cid:durableId="1578705558">
    <w:abstractNumId w:val="2"/>
  </w:num>
  <w:num w:numId="7" w16cid:durableId="1829515564">
    <w:abstractNumId w:val="3"/>
  </w:num>
  <w:num w:numId="8" w16cid:durableId="2117753240">
    <w:abstractNumId w:val="14"/>
  </w:num>
  <w:num w:numId="9" w16cid:durableId="659037771">
    <w:abstractNumId w:val="11"/>
  </w:num>
  <w:num w:numId="10" w16cid:durableId="1992322211">
    <w:abstractNumId w:val="12"/>
  </w:num>
  <w:num w:numId="11" w16cid:durableId="1897158540">
    <w:abstractNumId w:val="13"/>
  </w:num>
  <w:num w:numId="12" w16cid:durableId="2133278338">
    <w:abstractNumId w:val="6"/>
  </w:num>
  <w:num w:numId="13" w16cid:durableId="471870482">
    <w:abstractNumId w:val="10"/>
  </w:num>
  <w:num w:numId="14" w16cid:durableId="120154420">
    <w:abstractNumId w:val="7"/>
  </w:num>
  <w:num w:numId="15" w16cid:durableId="1583640919">
    <w:abstractNumId w:val="15"/>
  </w:num>
  <w:num w:numId="16" w16cid:durableId="1191605153">
    <w:abstractNumId w:val="4"/>
  </w:num>
  <w:num w:numId="17" w16cid:durableId="16089314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466"/>
    <w:rsid w:val="000007CF"/>
    <w:rsid w:val="00025CE7"/>
    <w:rsid w:val="00032862"/>
    <w:rsid w:val="00040BF8"/>
    <w:rsid w:val="000419B9"/>
    <w:rsid w:val="00055B33"/>
    <w:rsid w:val="00056451"/>
    <w:rsid w:val="00061B65"/>
    <w:rsid w:val="0006453B"/>
    <w:rsid w:val="00066FF9"/>
    <w:rsid w:val="0009152B"/>
    <w:rsid w:val="00092394"/>
    <w:rsid w:val="00094D8B"/>
    <w:rsid w:val="00097369"/>
    <w:rsid w:val="000B4C43"/>
    <w:rsid w:val="000BF6A3"/>
    <w:rsid w:val="000C4404"/>
    <w:rsid w:val="000C7738"/>
    <w:rsid w:val="000D275B"/>
    <w:rsid w:val="000E1E17"/>
    <w:rsid w:val="000E2233"/>
    <w:rsid w:val="000E4619"/>
    <w:rsid w:val="000E4F0C"/>
    <w:rsid w:val="000F1FF9"/>
    <w:rsid w:val="0010270D"/>
    <w:rsid w:val="00103CEA"/>
    <w:rsid w:val="00104545"/>
    <w:rsid w:val="00106635"/>
    <w:rsid w:val="001114CD"/>
    <w:rsid w:val="001168EA"/>
    <w:rsid w:val="00123FA1"/>
    <w:rsid w:val="00141989"/>
    <w:rsid w:val="00152BE4"/>
    <w:rsid w:val="001645E1"/>
    <w:rsid w:val="00171758"/>
    <w:rsid w:val="001744EE"/>
    <w:rsid w:val="001774CA"/>
    <w:rsid w:val="00180E1E"/>
    <w:rsid w:val="00182E02"/>
    <w:rsid w:val="001B2B57"/>
    <w:rsid w:val="001B35C5"/>
    <w:rsid w:val="001C5387"/>
    <w:rsid w:val="001D1834"/>
    <w:rsid w:val="001D239D"/>
    <w:rsid w:val="001D3C2B"/>
    <w:rsid w:val="001E043F"/>
    <w:rsid w:val="001E0454"/>
    <w:rsid w:val="001E3720"/>
    <w:rsid w:val="001E7515"/>
    <w:rsid w:val="001F36FF"/>
    <w:rsid w:val="0021345E"/>
    <w:rsid w:val="00213C12"/>
    <w:rsid w:val="0021455F"/>
    <w:rsid w:val="00227085"/>
    <w:rsid w:val="002305EE"/>
    <w:rsid w:val="002328F0"/>
    <w:rsid w:val="002410A3"/>
    <w:rsid w:val="002503D0"/>
    <w:rsid w:val="0025047E"/>
    <w:rsid w:val="00252599"/>
    <w:rsid w:val="00267732"/>
    <w:rsid w:val="00282EC1"/>
    <w:rsid w:val="002972A6"/>
    <w:rsid w:val="002B4BDC"/>
    <w:rsid w:val="002B5AF7"/>
    <w:rsid w:val="002D7AF3"/>
    <w:rsid w:val="002E193F"/>
    <w:rsid w:val="002E7FB4"/>
    <w:rsid w:val="002F03AC"/>
    <w:rsid w:val="002F506D"/>
    <w:rsid w:val="002F7D16"/>
    <w:rsid w:val="00305BA9"/>
    <w:rsid w:val="0030604C"/>
    <w:rsid w:val="0030622D"/>
    <w:rsid w:val="00314257"/>
    <w:rsid w:val="00316A61"/>
    <w:rsid w:val="003249AC"/>
    <w:rsid w:val="00327AF9"/>
    <w:rsid w:val="00342CB4"/>
    <w:rsid w:val="00345CA6"/>
    <w:rsid w:val="00346FE1"/>
    <w:rsid w:val="00347BD7"/>
    <w:rsid w:val="00354AAE"/>
    <w:rsid w:val="003560B0"/>
    <w:rsid w:val="00371052"/>
    <w:rsid w:val="00371281"/>
    <w:rsid w:val="00374ED7"/>
    <w:rsid w:val="0038615A"/>
    <w:rsid w:val="00396FFB"/>
    <w:rsid w:val="003973B7"/>
    <w:rsid w:val="003A0C61"/>
    <w:rsid w:val="003B4A9A"/>
    <w:rsid w:val="003B66A1"/>
    <w:rsid w:val="003B7F3E"/>
    <w:rsid w:val="003D3105"/>
    <w:rsid w:val="003D4CB1"/>
    <w:rsid w:val="003D5BF4"/>
    <w:rsid w:val="003E5E84"/>
    <w:rsid w:val="00413B44"/>
    <w:rsid w:val="0042736A"/>
    <w:rsid w:val="00441FBB"/>
    <w:rsid w:val="0044392B"/>
    <w:rsid w:val="00443F43"/>
    <w:rsid w:val="00453795"/>
    <w:rsid w:val="00455061"/>
    <w:rsid w:val="00455135"/>
    <w:rsid w:val="00460857"/>
    <w:rsid w:val="00465E11"/>
    <w:rsid w:val="00472B1B"/>
    <w:rsid w:val="00476982"/>
    <w:rsid w:val="00476FE5"/>
    <w:rsid w:val="004826CB"/>
    <w:rsid w:val="004903AE"/>
    <w:rsid w:val="00493F15"/>
    <w:rsid w:val="004A1D14"/>
    <w:rsid w:val="004C39F2"/>
    <w:rsid w:val="004C40EB"/>
    <w:rsid w:val="004F4C70"/>
    <w:rsid w:val="004F4E0B"/>
    <w:rsid w:val="00501006"/>
    <w:rsid w:val="00503A98"/>
    <w:rsid w:val="00506559"/>
    <w:rsid w:val="005100E1"/>
    <w:rsid w:val="00512184"/>
    <w:rsid w:val="00525D94"/>
    <w:rsid w:val="00536993"/>
    <w:rsid w:val="00537411"/>
    <w:rsid w:val="005433D2"/>
    <w:rsid w:val="00543894"/>
    <w:rsid w:val="0054627C"/>
    <w:rsid w:val="005463EB"/>
    <w:rsid w:val="00563B9E"/>
    <w:rsid w:val="00591795"/>
    <w:rsid w:val="005A1115"/>
    <w:rsid w:val="005A2AEF"/>
    <w:rsid w:val="005A44C4"/>
    <w:rsid w:val="005B312A"/>
    <w:rsid w:val="005C4D54"/>
    <w:rsid w:val="005D2085"/>
    <w:rsid w:val="005D2A6C"/>
    <w:rsid w:val="005D2BFF"/>
    <w:rsid w:val="005E222D"/>
    <w:rsid w:val="005E704F"/>
    <w:rsid w:val="0060566C"/>
    <w:rsid w:val="0060673E"/>
    <w:rsid w:val="00606799"/>
    <w:rsid w:val="00613BB4"/>
    <w:rsid w:val="006220DD"/>
    <w:rsid w:val="006226B6"/>
    <w:rsid w:val="006246E9"/>
    <w:rsid w:val="00637FC1"/>
    <w:rsid w:val="00643B99"/>
    <w:rsid w:val="00650F6C"/>
    <w:rsid w:val="0065574D"/>
    <w:rsid w:val="00662170"/>
    <w:rsid w:val="00680913"/>
    <w:rsid w:val="00695A27"/>
    <w:rsid w:val="006A042D"/>
    <w:rsid w:val="006A5F37"/>
    <w:rsid w:val="006A7532"/>
    <w:rsid w:val="006B2378"/>
    <w:rsid w:val="006C64AF"/>
    <w:rsid w:val="006D7C6C"/>
    <w:rsid w:val="006F38A2"/>
    <w:rsid w:val="007054BC"/>
    <w:rsid w:val="007267F9"/>
    <w:rsid w:val="007276EE"/>
    <w:rsid w:val="00733CB4"/>
    <w:rsid w:val="00733F54"/>
    <w:rsid w:val="00735EE3"/>
    <w:rsid w:val="00742115"/>
    <w:rsid w:val="007466EF"/>
    <w:rsid w:val="00755E35"/>
    <w:rsid w:val="0075755F"/>
    <w:rsid w:val="00764479"/>
    <w:rsid w:val="0076578D"/>
    <w:rsid w:val="007725EC"/>
    <w:rsid w:val="0078086B"/>
    <w:rsid w:val="00781446"/>
    <w:rsid w:val="007948FB"/>
    <w:rsid w:val="00795A52"/>
    <w:rsid w:val="007A69F2"/>
    <w:rsid w:val="007E6408"/>
    <w:rsid w:val="007F1ED0"/>
    <w:rsid w:val="007F43E8"/>
    <w:rsid w:val="007F616A"/>
    <w:rsid w:val="00803EB4"/>
    <w:rsid w:val="008072CF"/>
    <w:rsid w:val="00811BF2"/>
    <w:rsid w:val="008247EE"/>
    <w:rsid w:val="00831A39"/>
    <w:rsid w:val="008334F3"/>
    <w:rsid w:val="00835D46"/>
    <w:rsid w:val="008439EB"/>
    <w:rsid w:val="008756D7"/>
    <w:rsid w:val="00882811"/>
    <w:rsid w:val="00887CE7"/>
    <w:rsid w:val="00887E3C"/>
    <w:rsid w:val="00892BBE"/>
    <w:rsid w:val="00895F61"/>
    <w:rsid w:val="008A4CB6"/>
    <w:rsid w:val="008A6578"/>
    <w:rsid w:val="008A6C68"/>
    <w:rsid w:val="008B1D09"/>
    <w:rsid w:val="008B4176"/>
    <w:rsid w:val="008D0F09"/>
    <w:rsid w:val="008E5086"/>
    <w:rsid w:val="008F0960"/>
    <w:rsid w:val="008F7F20"/>
    <w:rsid w:val="0091084A"/>
    <w:rsid w:val="00922879"/>
    <w:rsid w:val="00935CD1"/>
    <w:rsid w:val="00940056"/>
    <w:rsid w:val="0094663C"/>
    <w:rsid w:val="00946BE5"/>
    <w:rsid w:val="00947A56"/>
    <w:rsid w:val="009560E5"/>
    <w:rsid w:val="00981496"/>
    <w:rsid w:val="00981BDC"/>
    <w:rsid w:val="00995C08"/>
    <w:rsid w:val="009A0587"/>
    <w:rsid w:val="009A17B1"/>
    <w:rsid w:val="009A289A"/>
    <w:rsid w:val="009A419F"/>
    <w:rsid w:val="009A7903"/>
    <w:rsid w:val="009D7D66"/>
    <w:rsid w:val="009F3EF9"/>
    <w:rsid w:val="009F3EFC"/>
    <w:rsid w:val="00A00844"/>
    <w:rsid w:val="00A117C7"/>
    <w:rsid w:val="00A119DE"/>
    <w:rsid w:val="00A2432D"/>
    <w:rsid w:val="00A35471"/>
    <w:rsid w:val="00A4341A"/>
    <w:rsid w:val="00A5526B"/>
    <w:rsid w:val="00A606AA"/>
    <w:rsid w:val="00A60825"/>
    <w:rsid w:val="00A60C03"/>
    <w:rsid w:val="00A61192"/>
    <w:rsid w:val="00A73F28"/>
    <w:rsid w:val="00A74C38"/>
    <w:rsid w:val="00A76DB2"/>
    <w:rsid w:val="00A77130"/>
    <w:rsid w:val="00A80CCD"/>
    <w:rsid w:val="00A9220B"/>
    <w:rsid w:val="00AA56AB"/>
    <w:rsid w:val="00AB2DD5"/>
    <w:rsid w:val="00AB5217"/>
    <w:rsid w:val="00AB7754"/>
    <w:rsid w:val="00AC63E0"/>
    <w:rsid w:val="00AD157B"/>
    <w:rsid w:val="00AD1FBE"/>
    <w:rsid w:val="00AD6C85"/>
    <w:rsid w:val="00B113AE"/>
    <w:rsid w:val="00B13CD2"/>
    <w:rsid w:val="00B16014"/>
    <w:rsid w:val="00B318C4"/>
    <w:rsid w:val="00B3428C"/>
    <w:rsid w:val="00B41024"/>
    <w:rsid w:val="00B43CF3"/>
    <w:rsid w:val="00B47891"/>
    <w:rsid w:val="00B47B2F"/>
    <w:rsid w:val="00B61368"/>
    <w:rsid w:val="00B7129F"/>
    <w:rsid w:val="00B71B78"/>
    <w:rsid w:val="00B81C2A"/>
    <w:rsid w:val="00B87C7A"/>
    <w:rsid w:val="00BA04EE"/>
    <w:rsid w:val="00BA10F0"/>
    <w:rsid w:val="00BB561A"/>
    <w:rsid w:val="00BB5D0E"/>
    <w:rsid w:val="00BC15CC"/>
    <w:rsid w:val="00BC1B5D"/>
    <w:rsid w:val="00BD4034"/>
    <w:rsid w:val="00BD52FA"/>
    <w:rsid w:val="00BD79E0"/>
    <w:rsid w:val="00BE19F9"/>
    <w:rsid w:val="00BF11C4"/>
    <w:rsid w:val="00C04EE4"/>
    <w:rsid w:val="00C072EB"/>
    <w:rsid w:val="00C1212C"/>
    <w:rsid w:val="00C468DE"/>
    <w:rsid w:val="00C47AB1"/>
    <w:rsid w:val="00C53EE7"/>
    <w:rsid w:val="00C56BE1"/>
    <w:rsid w:val="00C66B15"/>
    <w:rsid w:val="00C67A9B"/>
    <w:rsid w:val="00C70037"/>
    <w:rsid w:val="00C739E2"/>
    <w:rsid w:val="00C8105D"/>
    <w:rsid w:val="00C87365"/>
    <w:rsid w:val="00C915BD"/>
    <w:rsid w:val="00C9248B"/>
    <w:rsid w:val="00C92634"/>
    <w:rsid w:val="00CA599F"/>
    <w:rsid w:val="00CB139B"/>
    <w:rsid w:val="00CB5226"/>
    <w:rsid w:val="00CB5665"/>
    <w:rsid w:val="00CB58CD"/>
    <w:rsid w:val="00CC084D"/>
    <w:rsid w:val="00CC236D"/>
    <w:rsid w:val="00CD756F"/>
    <w:rsid w:val="00CE229E"/>
    <w:rsid w:val="00CE5DD2"/>
    <w:rsid w:val="00CF1681"/>
    <w:rsid w:val="00CF3773"/>
    <w:rsid w:val="00D13365"/>
    <w:rsid w:val="00D25DBF"/>
    <w:rsid w:val="00D31573"/>
    <w:rsid w:val="00D33314"/>
    <w:rsid w:val="00D40132"/>
    <w:rsid w:val="00D53156"/>
    <w:rsid w:val="00D546E2"/>
    <w:rsid w:val="00D634FF"/>
    <w:rsid w:val="00D672E7"/>
    <w:rsid w:val="00D74895"/>
    <w:rsid w:val="00D7788C"/>
    <w:rsid w:val="00D837C8"/>
    <w:rsid w:val="00D862B1"/>
    <w:rsid w:val="00D91B78"/>
    <w:rsid w:val="00DA0EF4"/>
    <w:rsid w:val="00DA1D6D"/>
    <w:rsid w:val="00DA6768"/>
    <w:rsid w:val="00DB04DF"/>
    <w:rsid w:val="00DC05B9"/>
    <w:rsid w:val="00DE5133"/>
    <w:rsid w:val="00DE56F0"/>
    <w:rsid w:val="00DF0746"/>
    <w:rsid w:val="00DF3BDA"/>
    <w:rsid w:val="00DF40F9"/>
    <w:rsid w:val="00DF7B60"/>
    <w:rsid w:val="00E17AF4"/>
    <w:rsid w:val="00E20B64"/>
    <w:rsid w:val="00E36466"/>
    <w:rsid w:val="00E41553"/>
    <w:rsid w:val="00E43461"/>
    <w:rsid w:val="00E550D2"/>
    <w:rsid w:val="00E564C0"/>
    <w:rsid w:val="00E6148D"/>
    <w:rsid w:val="00E710F0"/>
    <w:rsid w:val="00E73AE0"/>
    <w:rsid w:val="00E74D44"/>
    <w:rsid w:val="00E81F98"/>
    <w:rsid w:val="00E967DF"/>
    <w:rsid w:val="00EA19CA"/>
    <w:rsid w:val="00EA55F7"/>
    <w:rsid w:val="00EB1267"/>
    <w:rsid w:val="00EC6241"/>
    <w:rsid w:val="00EE20D6"/>
    <w:rsid w:val="00EE7AFD"/>
    <w:rsid w:val="00F16694"/>
    <w:rsid w:val="00F175F8"/>
    <w:rsid w:val="00F40536"/>
    <w:rsid w:val="00F476F5"/>
    <w:rsid w:val="00F54EFA"/>
    <w:rsid w:val="00F62B74"/>
    <w:rsid w:val="00F64CF5"/>
    <w:rsid w:val="00F64FCF"/>
    <w:rsid w:val="00F82B86"/>
    <w:rsid w:val="00F8619D"/>
    <w:rsid w:val="00F87F58"/>
    <w:rsid w:val="00F90869"/>
    <w:rsid w:val="00FA7512"/>
    <w:rsid w:val="00FB4CC6"/>
    <w:rsid w:val="00FC5CB0"/>
    <w:rsid w:val="00FD5A26"/>
    <w:rsid w:val="00FD7B36"/>
    <w:rsid w:val="00FF097C"/>
    <w:rsid w:val="01CE05FC"/>
    <w:rsid w:val="02E4C98A"/>
    <w:rsid w:val="05F8F98E"/>
    <w:rsid w:val="05FCB675"/>
    <w:rsid w:val="0742489F"/>
    <w:rsid w:val="095A7C98"/>
    <w:rsid w:val="0A59A043"/>
    <w:rsid w:val="0B45DEE2"/>
    <w:rsid w:val="0C63743F"/>
    <w:rsid w:val="0C895E0E"/>
    <w:rsid w:val="0CC288A1"/>
    <w:rsid w:val="0DF55F87"/>
    <w:rsid w:val="0EFF867C"/>
    <w:rsid w:val="12E21491"/>
    <w:rsid w:val="1365FE9D"/>
    <w:rsid w:val="136FD554"/>
    <w:rsid w:val="13767788"/>
    <w:rsid w:val="13D66C65"/>
    <w:rsid w:val="1478C07D"/>
    <w:rsid w:val="178A8806"/>
    <w:rsid w:val="17B56DDA"/>
    <w:rsid w:val="18AFF7C7"/>
    <w:rsid w:val="19641305"/>
    <w:rsid w:val="1AA39C71"/>
    <w:rsid w:val="1B827F5E"/>
    <w:rsid w:val="1C512220"/>
    <w:rsid w:val="1FF0E2E5"/>
    <w:rsid w:val="212F8D0E"/>
    <w:rsid w:val="25630778"/>
    <w:rsid w:val="26B6DADB"/>
    <w:rsid w:val="273E9B40"/>
    <w:rsid w:val="27561672"/>
    <w:rsid w:val="27723679"/>
    <w:rsid w:val="285FF15B"/>
    <w:rsid w:val="28A17F55"/>
    <w:rsid w:val="28C26585"/>
    <w:rsid w:val="29355475"/>
    <w:rsid w:val="298A6A8B"/>
    <w:rsid w:val="2BEABC61"/>
    <w:rsid w:val="2E8D5EEE"/>
    <w:rsid w:val="2F4109B3"/>
    <w:rsid w:val="30045C7F"/>
    <w:rsid w:val="329279F3"/>
    <w:rsid w:val="336D1372"/>
    <w:rsid w:val="337FADD8"/>
    <w:rsid w:val="3432D14E"/>
    <w:rsid w:val="3938728F"/>
    <w:rsid w:val="3C66A71F"/>
    <w:rsid w:val="3FBB52D8"/>
    <w:rsid w:val="3FE56B6C"/>
    <w:rsid w:val="400CADDC"/>
    <w:rsid w:val="402FDD28"/>
    <w:rsid w:val="410E6158"/>
    <w:rsid w:val="41964890"/>
    <w:rsid w:val="42525EA8"/>
    <w:rsid w:val="45576126"/>
    <w:rsid w:val="46AB85D0"/>
    <w:rsid w:val="47D2FAF0"/>
    <w:rsid w:val="4D981D20"/>
    <w:rsid w:val="4E9FE813"/>
    <w:rsid w:val="51239179"/>
    <w:rsid w:val="541DA7FC"/>
    <w:rsid w:val="5455DB58"/>
    <w:rsid w:val="551D3DEF"/>
    <w:rsid w:val="5BF8197A"/>
    <w:rsid w:val="5E96B93E"/>
    <w:rsid w:val="5F22EF8F"/>
    <w:rsid w:val="610F53F0"/>
    <w:rsid w:val="63C20AE8"/>
    <w:rsid w:val="68147072"/>
    <w:rsid w:val="6C6D737D"/>
    <w:rsid w:val="7338D9BC"/>
    <w:rsid w:val="758C5CC1"/>
    <w:rsid w:val="793C0852"/>
    <w:rsid w:val="7A06AA11"/>
    <w:rsid w:val="7CDCA8BF"/>
    <w:rsid w:val="7D32FB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24EBB"/>
  <w15:chartTrackingRefBased/>
  <w15:docId w15:val="{6A42583A-55D7-4CE3-9058-65277C147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64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364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364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64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64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64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64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64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64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64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364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364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64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64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64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64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64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6466"/>
    <w:rPr>
      <w:rFonts w:eastAsiaTheme="majorEastAsia" w:cstheme="majorBidi"/>
      <w:color w:val="272727" w:themeColor="text1" w:themeTint="D8"/>
    </w:rPr>
  </w:style>
  <w:style w:type="paragraph" w:styleId="Title">
    <w:name w:val="Title"/>
    <w:basedOn w:val="Normal"/>
    <w:next w:val="Normal"/>
    <w:link w:val="TitleChar"/>
    <w:uiPriority w:val="10"/>
    <w:qFormat/>
    <w:rsid w:val="00E364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64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64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64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6466"/>
    <w:pPr>
      <w:spacing w:before="160"/>
      <w:jc w:val="center"/>
    </w:pPr>
    <w:rPr>
      <w:i/>
      <w:iCs/>
      <w:color w:val="404040" w:themeColor="text1" w:themeTint="BF"/>
    </w:rPr>
  </w:style>
  <w:style w:type="character" w:customStyle="1" w:styleId="QuoteChar">
    <w:name w:val="Quote Char"/>
    <w:basedOn w:val="DefaultParagraphFont"/>
    <w:link w:val="Quote"/>
    <w:uiPriority w:val="29"/>
    <w:rsid w:val="00E36466"/>
    <w:rPr>
      <w:i/>
      <w:iCs/>
      <w:color w:val="404040" w:themeColor="text1" w:themeTint="BF"/>
    </w:rPr>
  </w:style>
  <w:style w:type="paragraph" w:styleId="ListParagraph">
    <w:name w:val="List Paragraph"/>
    <w:basedOn w:val="Normal"/>
    <w:uiPriority w:val="34"/>
    <w:qFormat/>
    <w:rsid w:val="00E36466"/>
    <w:pPr>
      <w:ind w:left="720"/>
      <w:contextualSpacing/>
    </w:pPr>
  </w:style>
  <w:style w:type="character" w:styleId="IntenseEmphasis">
    <w:name w:val="Intense Emphasis"/>
    <w:basedOn w:val="DefaultParagraphFont"/>
    <w:uiPriority w:val="21"/>
    <w:qFormat/>
    <w:rsid w:val="00E36466"/>
    <w:rPr>
      <w:i/>
      <w:iCs/>
      <w:color w:val="0F4761" w:themeColor="accent1" w:themeShade="BF"/>
    </w:rPr>
  </w:style>
  <w:style w:type="paragraph" w:styleId="IntenseQuote">
    <w:name w:val="Intense Quote"/>
    <w:basedOn w:val="Normal"/>
    <w:next w:val="Normal"/>
    <w:link w:val="IntenseQuoteChar"/>
    <w:uiPriority w:val="30"/>
    <w:qFormat/>
    <w:rsid w:val="00E364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6466"/>
    <w:rPr>
      <w:i/>
      <w:iCs/>
      <w:color w:val="0F4761" w:themeColor="accent1" w:themeShade="BF"/>
    </w:rPr>
  </w:style>
  <w:style w:type="character" w:styleId="IntenseReference">
    <w:name w:val="Intense Reference"/>
    <w:basedOn w:val="DefaultParagraphFont"/>
    <w:uiPriority w:val="32"/>
    <w:qFormat/>
    <w:rsid w:val="00E36466"/>
    <w:rPr>
      <w:b/>
      <w:bCs/>
      <w:smallCaps/>
      <w:color w:val="0F4761" w:themeColor="accent1" w:themeShade="BF"/>
      <w:spacing w:val="5"/>
    </w:rPr>
  </w:style>
  <w:style w:type="character" w:styleId="Hyperlink">
    <w:name w:val="Hyperlink"/>
    <w:basedOn w:val="DefaultParagraphFont"/>
    <w:uiPriority w:val="99"/>
    <w:unhideWhenUsed/>
    <w:rsid w:val="00E36466"/>
    <w:rPr>
      <w:color w:val="467886" w:themeColor="hyperlink"/>
      <w:u w:val="single"/>
    </w:rPr>
  </w:style>
  <w:style w:type="character" w:styleId="UnresolvedMention">
    <w:name w:val="Unresolved Mention"/>
    <w:basedOn w:val="DefaultParagraphFont"/>
    <w:uiPriority w:val="99"/>
    <w:semiHidden/>
    <w:unhideWhenUsed/>
    <w:rsid w:val="00E36466"/>
    <w:rPr>
      <w:color w:val="605E5C"/>
      <w:shd w:val="clear" w:color="auto" w:fill="E1DFDD"/>
    </w:rPr>
  </w:style>
  <w:style w:type="paragraph" w:styleId="ListBullet">
    <w:name w:val="List Bullet"/>
    <w:basedOn w:val="Normal"/>
    <w:uiPriority w:val="99"/>
    <w:unhideWhenUsed/>
    <w:rsid w:val="00A117C7"/>
    <w:pPr>
      <w:numPr>
        <w:numId w:val="5"/>
      </w:numPr>
      <w:contextualSpacing/>
    </w:pPr>
  </w:style>
  <w:style w:type="table" w:styleId="TableGrid">
    <w:name w:val="Table Grid"/>
    <w:basedOn w:val="TableNormal"/>
    <w:uiPriority w:val="39"/>
    <w:rsid w:val="00C92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312A"/>
    <w:rPr>
      <w:sz w:val="16"/>
      <w:szCs w:val="16"/>
    </w:rPr>
  </w:style>
  <w:style w:type="paragraph" w:styleId="CommentText">
    <w:name w:val="annotation text"/>
    <w:basedOn w:val="Normal"/>
    <w:link w:val="CommentTextChar"/>
    <w:uiPriority w:val="99"/>
    <w:unhideWhenUsed/>
    <w:rsid w:val="005B312A"/>
    <w:pPr>
      <w:spacing w:line="240" w:lineRule="auto"/>
    </w:pPr>
    <w:rPr>
      <w:sz w:val="20"/>
      <w:szCs w:val="20"/>
    </w:rPr>
  </w:style>
  <w:style w:type="character" w:customStyle="1" w:styleId="CommentTextChar">
    <w:name w:val="Comment Text Char"/>
    <w:basedOn w:val="DefaultParagraphFont"/>
    <w:link w:val="CommentText"/>
    <w:uiPriority w:val="99"/>
    <w:rsid w:val="005B312A"/>
    <w:rPr>
      <w:sz w:val="20"/>
      <w:szCs w:val="20"/>
    </w:rPr>
  </w:style>
  <w:style w:type="paragraph" w:styleId="CommentSubject">
    <w:name w:val="annotation subject"/>
    <w:basedOn w:val="CommentText"/>
    <w:next w:val="CommentText"/>
    <w:link w:val="CommentSubjectChar"/>
    <w:uiPriority w:val="99"/>
    <w:semiHidden/>
    <w:unhideWhenUsed/>
    <w:rsid w:val="005B312A"/>
    <w:rPr>
      <w:b/>
      <w:bCs/>
    </w:rPr>
  </w:style>
  <w:style w:type="character" w:customStyle="1" w:styleId="CommentSubjectChar">
    <w:name w:val="Comment Subject Char"/>
    <w:basedOn w:val="CommentTextChar"/>
    <w:link w:val="CommentSubject"/>
    <w:uiPriority w:val="99"/>
    <w:semiHidden/>
    <w:rsid w:val="005B312A"/>
    <w:rPr>
      <w:b/>
      <w:bCs/>
      <w:sz w:val="20"/>
      <w:szCs w:val="20"/>
    </w:rPr>
  </w:style>
  <w:style w:type="paragraph" w:styleId="Header">
    <w:name w:val="header"/>
    <w:basedOn w:val="Normal"/>
    <w:link w:val="HeaderChar"/>
    <w:uiPriority w:val="99"/>
    <w:unhideWhenUsed/>
    <w:rsid w:val="000923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394"/>
  </w:style>
  <w:style w:type="paragraph" w:styleId="Footer">
    <w:name w:val="footer"/>
    <w:basedOn w:val="Normal"/>
    <w:link w:val="FooterChar"/>
    <w:uiPriority w:val="99"/>
    <w:unhideWhenUsed/>
    <w:rsid w:val="000923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394"/>
  </w:style>
  <w:style w:type="character" w:styleId="FollowedHyperlink">
    <w:name w:val="FollowedHyperlink"/>
    <w:basedOn w:val="DefaultParagraphFont"/>
    <w:uiPriority w:val="99"/>
    <w:semiHidden/>
    <w:unhideWhenUsed/>
    <w:rsid w:val="00947A56"/>
    <w:rPr>
      <w:color w:val="96607D" w:themeColor="followedHyperlink"/>
      <w:u w:val="single"/>
    </w:rPr>
  </w:style>
  <w:style w:type="paragraph" w:styleId="FootnoteText">
    <w:name w:val="footnote text"/>
    <w:basedOn w:val="Normal"/>
    <w:link w:val="FootnoteTextChar"/>
    <w:uiPriority w:val="99"/>
    <w:semiHidden/>
    <w:unhideWhenUsed/>
    <w:rsid w:val="007948F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948FB"/>
    <w:rPr>
      <w:sz w:val="20"/>
      <w:szCs w:val="20"/>
    </w:rPr>
  </w:style>
  <w:style w:type="character" w:styleId="FootnoteReference">
    <w:name w:val="footnote reference"/>
    <w:basedOn w:val="DefaultParagraphFont"/>
    <w:uiPriority w:val="99"/>
    <w:semiHidden/>
    <w:unhideWhenUsed/>
    <w:rsid w:val="007948FB"/>
    <w:rPr>
      <w:vertAlign w:val="superscript"/>
    </w:rPr>
  </w:style>
  <w:style w:type="character" w:styleId="Mention">
    <w:name w:val="Mention"/>
    <w:basedOn w:val="DefaultParagraphFont"/>
    <w:uiPriority w:val="99"/>
    <w:unhideWhenUsed/>
    <w:rsid w:val="00887E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F88C861C26E74D88A4773E77A5DF53" ma:contentTypeVersion="15" ma:contentTypeDescription="Create a new document." ma:contentTypeScope="" ma:versionID="b3f55a827e4f2c3c65189fa1285784bf">
  <xsd:schema xmlns:xsd="http://www.w3.org/2001/XMLSchema" xmlns:xs="http://www.w3.org/2001/XMLSchema" xmlns:p="http://schemas.microsoft.com/office/2006/metadata/properties" xmlns:ns2="45671d71-1a40-4a0a-b7f1-25bb7a2b1cd1" xmlns:ns3="99ab9c12-b0d4-4def-b8e1-fbe1a9b0378c" targetNamespace="http://schemas.microsoft.com/office/2006/metadata/properties" ma:root="true" ma:fieldsID="3fb6b68bebfac65ad29886c68842f72e" ns2:_="" ns3:_="">
    <xsd:import namespace="45671d71-1a40-4a0a-b7f1-25bb7a2b1cd1"/>
    <xsd:import namespace="99ab9c12-b0d4-4def-b8e1-fbe1a9b037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671d71-1a40-4a0a-b7f1-25bb7a2b1c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18be74b-408a-4821-a541-c1cb6a28085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ab9c12-b0d4-4def-b8e1-fbe1a9b0378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1015b39-c36b-40ab-8c74-73a1bd4e65b9}" ma:internalName="TaxCatchAll" ma:showField="CatchAllData" ma:web="99ab9c12-b0d4-4def-b8e1-fbe1a9b0378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9ab9c12-b0d4-4def-b8e1-fbe1a9b0378c" xsi:nil="true"/>
    <lcf76f155ced4ddcb4097134ff3c332f xmlns="45671d71-1a40-4a0a-b7f1-25bb7a2b1cd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4F01D1-0422-4EE8-B646-1CEA221FA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671d71-1a40-4a0a-b7f1-25bb7a2b1cd1"/>
    <ds:schemaRef ds:uri="99ab9c12-b0d4-4def-b8e1-fbe1a9b03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4D14D4-60EE-40F3-914A-75DC8909DB93}">
  <ds:schemaRefs>
    <ds:schemaRef ds:uri="http://schemas.microsoft.com/office/2006/metadata/properties"/>
    <ds:schemaRef ds:uri="http://schemas.microsoft.com/office/infopath/2007/PartnerControls"/>
    <ds:schemaRef ds:uri="99ab9c12-b0d4-4def-b8e1-fbe1a9b0378c"/>
    <ds:schemaRef ds:uri="45671d71-1a40-4a0a-b7f1-25bb7a2b1cd1"/>
  </ds:schemaRefs>
</ds:datastoreItem>
</file>

<file path=customXml/itemProps3.xml><?xml version="1.0" encoding="utf-8"?>
<ds:datastoreItem xmlns:ds="http://schemas.openxmlformats.org/officeDocument/2006/customXml" ds:itemID="{DBE69504-D181-4641-A57B-159615461389}">
  <ds:schemaRefs>
    <ds:schemaRef ds:uri="http://schemas.openxmlformats.org/officeDocument/2006/bibliography"/>
  </ds:schemaRefs>
</ds:datastoreItem>
</file>

<file path=customXml/itemProps4.xml><?xml version="1.0" encoding="utf-8"?>
<ds:datastoreItem xmlns:ds="http://schemas.openxmlformats.org/officeDocument/2006/customXml" ds:itemID="{D171F866-5950-4EA8-A3ED-C86C034EB2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1550</Words>
  <Characters>8840</Characters>
  <Application>Microsoft Office Word</Application>
  <DocSecurity>0</DocSecurity>
  <Lines>73</Lines>
  <Paragraphs>20</Paragraphs>
  <ScaleCrop>false</ScaleCrop>
  <Company/>
  <LinksUpToDate>false</LinksUpToDate>
  <CharactersWithSpaces>10370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Sietniekas, Ian</dc:creator>
  <cp:keywords/>
  <dc:description/>
  <cp:lastModifiedBy>Kelly Laycock</cp:lastModifiedBy>
  <cp:revision>92</cp:revision>
  <dcterms:created xsi:type="dcterms:W3CDTF">2025-03-14T03:46:00Z</dcterms:created>
  <dcterms:modified xsi:type="dcterms:W3CDTF">2025-04-08T18:55:00Z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0x01010096F88C861C26E74D88A4773E77A5DF53</vt:lpwstr>
  </property>
  <property fmtid="{D5CDD505-2E9C-101B-9397-08002B2CF9AE}" pid="3" name="MediaServiceImageTags">
    <vt:lpwstr/>
  </property>
</Properties>
</file>