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AE52" w14:textId="77777777" w:rsidR="001B2BC6" w:rsidRDefault="001B2BC6" w:rsidP="00887E34"/>
    <w:p w14:paraId="53E06A30" w14:textId="4E882D08" w:rsidR="00BB010A" w:rsidRDefault="00BB010A" w:rsidP="00887E34"/>
    <w:p w14:paraId="63568A94" w14:textId="77777777" w:rsidR="00A075AC" w:rsidRDefault="00A075AC" w:rsidP="00887E34"/>
    <w:p w14:paraId="0A0F3320" w14:textId="77777777" w:rsidR="00A075AC" w:rsidRDefault="00A075AC" w:rsidP="00887E34"/>
    <w:p w14:paraId="0429008F" w14:textId="77777777" w:rsidR="00A075AC" w:rsidRDefault="00A075AC" w:rsidP="00887E34"/>
    <w:p w14:paraId="34072EB0" w14:textId="77777777" w:rsidR="00A075AC" w:rsidRDefault="00A075AC" w:rsidP="00887E34"/>
    <w:p w14:paraId="1296ED62" w14:textId="3D1484E8" w:rsidR="00730137" w:rsidRPr="00A075AC" w:rsidRDefault="00CC5FED" w:rsidP="00CC5FED">
      <w:pPr>
        <w:jc w:val="center"/>
        <w:rPr>
          <w:b/>
          <w:sz w:val="28"/>
          <w:szCs w:val="28"/>
        </w:rPr>
      </w:pPr>
      <w:r>
        <w:rPr>
          <w:b/>
          <w:sz w:val="28"/>
          <w:szCs w:val="28"/>
        </w:rPr>
        <w:t>MAYOR</w:t>
      </w:r>
      <w:r w:rsidR="00730137" w:rsidRPr="00A075AC">
        <w:rPr>
          <w:b/>
          <w:sz w:val="28"/>
          <w:szCs w:val="28"/>
        </w:rPr>
        <w:t xml:space="preserve"> FOR WEST YORKSHIRE</w:t>
      </w:r>
    </w:p>
    <w:p w14:paraId="431D7B1A" w14:textId="77777777" w:rsidR="00730137" w:rsidRPr="00A075AC" w:rsidRDefault="00730137" w:rsidP="00887E34">
      <w:pPr>
        <w:rPr>
          <w:b/>
          <w:sz w:val="28"/>
          <w:szCs w:val="28"/>
        </w:rPr>
      </w:pPr>
    </w:p>
    <w:p w14:paraId="5D087E9E" w14:textId="77777777" w:rsidR="00B56721" w:rsidRPr="00A075AC" w:rsidRDefault="00B56721" w:rsidP="00887E34">
      <w:pPr>
        <w:rPr>
          <w:b/>
          <w:sz w:val="28"/>
          <w:szCs w:val="28"/>
        </w:rPr>
      </w:pPr>
    </w:p>
    <w:p w14:paraId="29EE5C00" w14:textId="77777777" w:rsidR="00B56721" w:rsidRPr="00A075AC" w:rsidRDefault="00B56721" w:rsidP="00887E34">
      <w:pPr>
        <w:rPr>
          <w:b/>
          <w:sz w:val="28"/>
          <w:szCs w:val="28"/>
        </w:rPr>
      </w:pPr>
    </w:p>
    <w:p w14:paraId="384C355B" w14:textId="77777777" w:rsidR="00B56721" w:rsidRPr="00A075AC" w:rsidRDefault="00B56721" w:rsidP="00887E34">
      <w:pPr>
        <w:rPr>
          <w:b/>
          <w:sz w:val="28"/>
          <w:szCs w:val="28"/>
        </w:rPr>
      </w:pPr>
    </w:p>
    <w:p w14:paraId="5EA7B73A" w14:textId="4D1F169F" w:rsidR="00730137" w:rsidRPr="002718DD" w:rsidRDefault="00730137" w:rsidP="00887E34">
      <w:pPr>
        <w:ind w:left="1440" w:firstLine="720"/>
        <w:rPr>
          <w:b/>
          <w:sz w:val="28"/>
          <w:szCs w:val="28"/>
        </w:rPr>
      </w:pPr>
      <w:r w:rsidRPr="002718DD">
        <w:rPr>
          <w:b/>
          <w:sz w:val="28"/>
          <w:szCs w:val="28"/>
        </w:rPr>
        <w:t>RE</w:t>
      </w:r>
      <w:r w:rsidR="006B11D2" w:rsidRPr="002718DD">
        <w:rPr>
          <w:b/>
          <w:sz w:val="28"/>
          <w:szCs w:val="28"/>
        </w:rPr>
        <w:t xml:space="preserve">VENUE AND CAPITAL BUDGET </w:t>
      </w:r>
      <w:r w:rsidR="003C160F">
        <w:rPr>
          <w:b/>
          <w:sz w:val="28"/>
          <w:szCs w:val="28"/>
        </w:rPr>
        <w:t>202</w:t>
      </w:r>
      <w:r w:rsidR="00E900B5">
        <w:rPr>
          <w:b/>
          <w:sz w:val="28"/>
          <w:szCs w:val="28"/>
        </w:rPr>
        <w:t>5/26</w:t>
      </w:r>
    </w:p>
    <w:p w14:paraId="632D1DBC" w14:textId="77777777" w:rsidR="00A075AC" w:rsidRPr="002718DD" w:rsidRDefault="00A075AC" w:rsidP="00887E34">
      <w:pPr>
        <w:rPr>
          <w:b/>
          <w:sz w:val="28"/>
          <w:szCs w:val="28"/>
        </w:rPr>
      </w:pPr>
    </w:p>
    <w:p w14:paraId="54DAA431" w14:textId="77777777" w:rsidR="00A075AC" w:rsidRPr="002718DD" w:rsidRDefault="00A075AC" w:rsidP="00887E34">
      <w:pPr>
        <w:rPr>
          <w:b/>
        </w:rPr>
      </w:pPr>
    </w:p>
    <w:p w14:paraId="62D9BF0B" w14:textId="77777777" w:rsidR="00730137" w:rsidRPr="002718DD" w:rsidRDefault="00B56721" w:rsidP="00887E34">
      <w:pPr>
        <w:rPr>
          <w:b/>
          <w:sz w:val="16"/>
        </w:rPr>
      </w:pPr>
      <w:r w:rsidRPr="002718DD">
        <w:rPr>
          <w:b/>
          <w:sz w:val="16"/>
        </w:rPr>
        <w:br w:type="page"/>
      </w:r>
    </w:p>
    <w:p w14:paraId="568301A1" w14:textId="77777777" w:rsidR="00730137" w:rsidRPr="002718DD" w:rsidRDefault="00730137" w:rsidP="00887E34">
      <w:pPr>
        <w:rPr>
          <w:b/>
        </w:rPr>
      </w:pPr>
      <w:r w:rsidRPr="002718DD">
        <w:rPr>
          <w:b/>
        </w:rPr>
        <w:lastRenderedPageBreak/>
        <w:t>EXECUTIVE SUMMARY</w:t>
      </w:r>
    </w:p>
    <w:p w14:paraId="7AE26842" w14:textId="77777777" w:rsidR="00730137" w:rsidRPr="002718DD" w:rsidRDefault="00730137" w:rsidP="00887E34">
      <w:pPr>
        <w:rPr>
          <w:b/>
          <w:sz w:val="16"/>
        </w:rPr>
      </w:pPr>
    </w:p>
    <w:p w14:paraId="5AC6A5F5" w14:textId="3457B9A9" w:rsidR="00730137" w:rsidRPr="002718DD" w:rsidRDefault="00730137" w:rsidP="00887E34">
      <w:pPr>
        <w:numPr>
          <w:ilvl w:val="0"/>
          <w:numId w:val="1"/>
        </w:numPr>
      </w:pPr>
      <w:r w:rsidRPr="002718DD">
        <w:t xml:space="preserve">The </w:t>
      </w:r>
      <w:r w:rsidR="00CC5FED">
        <w:t>Mayor</w:t>
      </w:r>
      <w:r w:rsidRPr="002718DD">
        <w:t xml:space="preserve"> is required to determine the council tax requirement for </w:t>
      </w:r>
      <w:r w:rsidR="003C160F">
        <w:t>202</w:t>
      </w:r>
      <w:r w:rsidR="00E900B5">
        <w:t>5/26</w:t>
      </w:r>
      <w:r w:rsidR="002F6339" w:rsidRPr="002718DD">
        <w:t xml:space="preserve">, calculate </w:t>
      </w:r>
      <w:r w:rsidR="002F6339" w:rsidRPr="00F92C67">
        <w:t>the B</w:t>
      </w:r>
      <w:r w:rsidRPr="00F92C67">
        <w:t>and D police council tax and issue the precept to the Billing Authorities</w:t>
      </w:r>
      <w:r w:rsidR="003C160F" w:rsidRPr="00F92C67">
        <w:t xml:space="preserve"> by 1 March 202</w:t>
      </w:r>
      <w:r w:rsidR="00E900B5" w:rsidRPr="00F92C67">
        <w:t>5</w:t>
      </w:r>
      <w:r w:rsidRPr="00F92C67">
        <w:t>.</w:t>
      </w:r>
      <w:r w:rsidR="00CC5FED" w:rsidRPr="00F92C67">
        <w:t xml:space="preserve"> </w:t>
      </w:r>
    </w:p>
    <w:p w14:paraId="11D99D1F" w14:textId="77777777" w:rsidR="002F6339" w:rsidRPr="002718DD" w:rsidRDefault="002F6339" w:rsidP="00887E34"/>
    <w:p w14:paraId="646D5E10" w14:textId="46B3DD2D" w:rsidR="00A507F1" w:rsidRPr="002718DD" w:rsidRDefault="002F6339" w:rsidP="00887E34">
      <w:pPr>
        <w:numPr>
          <w:ilvl w:val="0"/>
          <w:numId w:val="1"/>
        </w:numPr>
      </w:pPr>
      <w:r w:rsidRPr="002718DD">
        <w:t xml:space="preserve">There is a requirement to notify the Police and Crime Panel of the proposed precept and for the Panel to issue a report to the </w:t>
      </w:r>
      <w:r w:rsidR="00CC5FED">
        <w:t>Mayor</w:t>
      </w:r>
      <w:r w:rsidRPr="002718DD">
        <w:t>.</w:t>
      </w:r>
    </w:p>
    <w:p w14:paraId="52BE87AB" w14:textId="77777777" w:rsidR="00A507F1" w:rsidRPr="002718DD" w:rsidRDefault="00A507F1" w:rsidP="00887E34"/>
    <w:p w14:paraId="72678EA0" w14:textId="5206C15B" w:rsidR="00FD4FFE" w:rsidRPr="00A56185" w:rsidRDefault="00FD4FFE" w:rsidP="00FD4FFE">
      <w:pPr>
        <w:numPr>
          <w:ilvl w:val="0"/>
          <w:numId w:val="1"/>
        </w:numPr>
      </w:pPr>
      <w:r w:rsidRPr="00A56185">
        <w:t xml:space="preserve">The settlement was a one year only settlement </w:t>
      </w:r>
      <w:r w:rsidR="0052108D" w:rsidRPr="00A56185">
        <w:t xml:space="preserve">with </w:t>
      </w:r>
      <w:r w:rsidR="00A56185" w:rsidRPr="00A56185">
        <w:t>future settlements to be informed by CSR 2025.</w:t>
      </w:r>
    </w:p>
    <w:p w14:paraId="3A4C4E6F" w14:textId="77777777" w:rsidR="00FD4FFE" w:rsidRPr="00FD4FFE" w:rsidRDefault="00FD4FFE" w:rsidP="00CC5FED">
      <w:pPr>
        <w:rPr>
          <w:highlight w:val="yellow"/>
        </w:rPr>
      </w:pPr>
    </w:p>
    <w:p w14:paraId="1C69C607" w14:textId="0686B1A8" w:rsidR="00091D8E" w:rsidRPr="00883C3F" w:rsidRDefault="00091D8E" w:rsidP="00887E34">
      <w:pPr>
        <w:numPr>
          <w:ilvl w:val="0"/>
          <w:numId w:val="2"/>
        </w:numPr>
        <w:ind w:left="426"/>
      </w:pPr>
      <w:r w:rsidRPr="00883C3F">
        <w:t>Strategic planning has been based upon the</w:t>
      </w:r>
      <w:r w:rsidR="00CC5FED" w:rsidRPr="00883C3F">
        <w:t xml:space="preserve"> existing Police and Crime Plan and the draft Police and Crime Plan due to be published in </w:t>
      </w:r>
      <w:r w:rsidR="003B40A4" w:rsidRPr="00883C3F">
        <w:t>February 2025</w:t>
      </w:r>
      <w:r w:rsidR="00CC5FED" w:rsidRPr="00883C3F">
        <w:t xml:space="preserve">. Planning also focusses on </w:t>
      </w:r>
      <w:r w:rsidR="00DF5491" w:rsidRPr="00883C3F">
        <w:rPr>
          <w:rFonts w:eastAsia="Calibri"/>
        </w:rPr>
        <w:t>the</w:t>
      </w:r>
      <w:r w:rsidR="00A6301B" w:rsidRPr="00883C3F">
        <w:rPr>
          <w:rFonts w:eastAsia="Calibri"/>
        </w:rPr>
        <w:t xml:space="preserve"> </w:t>
      </w:r>
      <w:r w:rsidR="00C9717C" w:rsidRPr="00883C3F">
        <w:rPr>
          <w:rFonts w:eastAsia="Calibri"/>
        </w:rPr>
        <w:t>West Yorkshire Police</w:t>
      </w:r>
      <w:r w:rsidR="00A6301B" w:rsidRPr="00883C3F">
        <w:rPr>
          <w:rFonts w:eastAsia="Calibri"/>
        </w:rPr>
        <w:t xml:space="preserve"> Strategic Assessment, based on threat risk and harm</w:t>
      </w:r>
      <w:r w:rsidR="00887E34" w:rsidRPr="00883C3F">
        <w:rPr>
          <w:rFonts w:eastAsia="Calibri"/>
        </w:rPr>
        <w:t xml:space="preserve">. </w:t>
      </w:r>
    </w:p>
    <w:p w14:paraId="20DEBBE2" w14:textId="77777777" w:rsidR="00B33529" w:rsidRPr="00DD5117" w:rsidRDefault="00B33529" w:rsidP="00DD5117">
      <w:pPr>
        <w:rPr>
          <w:highlight w:val="yellow"/>
        </w:rPr>
      </w:pPr>
    </w:p>
    <w:p w14:paraId="1BDA8F91" w14:textId="6921973A" w:rsidR="00B33529" w:rsidRPr="000337DC" w:rsidRDefault="003944B9" w:rsidP="00887E34">
      <w:pPr>
        <w:numPr>
          <w:ilvl w:val="0"/>
          <w:numId w:val="2"/>
        </w:numPr>
        <w:ind w:left="426"/>
      </w:pPr>
      <w:r>
        <w:t>In</w:t>
      </w:r>
      <w:r w:rsidR="003C160F">
        <w:rPr>
          <w:rFonts w:eastAsia="Calibri"/>
        </w:rPr>
        <w:t xml:space="preserve"> continuing to </w:t>
      </w:r>
      <w:proofErr w:type="gramStart"/>
      <w:r w:rsidR="003C160F">
        <w:rPr>
          <w:rFonts w:eastAsia="Calibri"/>
        </w:rPr>
        <w:t>passport</w:t>
      </w:r>
      <w:proofErr w:type="gramEnd"/>
      <w:r w:rsidR="003C160F">
        <w:rPr>
          <w:rFonts w:eastAsia="Calibri"/>
        </w:rPr>
        <w:t xml:space="preserve"> the £5.2m Community Safety Funding</w:t>
      </w:r>
      <w:r>
        <w:rPr>
          <w:rFonts w:eastAsia="Calibri"/>
        </w:rPr>
        <w:t xml:space="preserve"> across West Yorkshire</w:t>
      </w:r>
      <w:r w:rsidR="003C160F">
        <w:rPr>
          <w:rFonts w:eastAsia="Calibri"/>
        </w:rPr>
        <w:t xml:space="preserve"> the</w:t>
      </w:r>
      <w:r w:rsidR="00091D8E" w:rsidRPr="000337DC">
        <w:rPr>
          <w:rFonts w:eastAsia="Calibri"/>
        </w:rPr>
        <w:t xml:space="preserve"> </w:t>
      </w:r>
      <w:r w:rsidR="00CC5FED">
        <w:t>Mayor</w:t>
      </w:r>
      <w:r w:rsidR="00B33529" w:rsidRPr="000337DC">
        <w:t xml:space="preserve"> is working with </w:t>
      </w:r>
      <w:r>
        <w:t xml:space="preserve">CSP </w:t>
      </w:r>
      <w:r w:rsidR="00B33529" w:rsidRPr="000337DC">
        <w:t xml:space="preserve">partners to </w:t>
      </w:r>
      <w:r>
        <w:t xml:space="preserve">fund important local initiatives around Domestic Violence, Youth Offending and drugs intervention programmes and to </w:t>
      </w:r>
      <w:r w:rsidR="00B33529" w:rsidRPr="000337DC">
        <w:t>look at how</w:t>
      </w:r>
      <w:r>
        <w:t xml:space="preserve"> we work better together making</w:t>
      </w:r>
      <w:r w:rsidR="00B33529" w:rsidRPr="000337DC">
        <w:t xml:space="preserve"> the best use of di</w:t>
      </w:r>
      <w:r>
        <w:t>minishing resources and continuing</w:t>
      </w:r>
      <w:r w:rsidR="00B33529" w:rsidRPr="000337DC">
        <w:t xml:space="preserve"> to provide improved services to the public.</w:t>
      </w:r>
    </w:p>
    <w:p w14:paraId="2AC26593" w14:textId="77777777" w:rsidR="006B11D2" w:rsidRPr="009A4C42" w:rsidRDefault="006B11D2" w:rsidP="00887E34">
      <w:pPr>
        <w:ind w:left="426"/>
        <w:rPr>
          <w:highlight w:val="yellow"/>
        </w:rPr>
      </w:pPr>
    </w:p>
    <w:p w14:paraId="7EBF7F35" w14:textId="61DD579C" w:rsidR="006B11D2" w:rsidRPr="00117971" w:rsidRDefault="00510A1A" w:rsidP="00117971">
      <w:pPr>
        <w:numPr>
          <w:ilvl w:val="0"/>
          <w:numId w:val="2"/>
        </w:numPr>
        <w:ind w:left="426"/>
      </w:pPr>
      <w:r>
        <w:t>The</w:t>
      </w:r>
      <w:r w:rsidR="00117971" w:rsidRPr="00117971">
        <w:t xml:space="preserve"> Mayor and the Deputy Mayor are keen to maximise resources to West Yorkshire Police due to the pressures faced and the needs of the community and therefore consider</w:t>
      </w:r>
      <w:r w:rsidR="00117971">
        <w:t>ed</w:t>
      </w:r>
      <w:r w:rsidR="00117971" w:rsidRPr="00117971">
        <w:t xml:space="preserve"> the £1</w:t>
      </w:r>
      <w:r w:rsidR="00092BCF">
        <w:t>4</w:t>
      </w:r>
      <w:r w:rsidR="00117971" w:rsidRPr="00117971">
        <w:t xml:space="preserve"> increase to be the only viable option.</w:t>
      </w:r>
    </w:p>
    <w:p w14:paraId="1380070C" w14:textId="77777777" w:rsidR="00E50693" w:rsidRPr="00E50693" w:rsidRDefault="00E50693" w:rsidP="00940077"/>
    <w:p w14:paraId="319B1554" w14:textId="2A9BAA0F" w:rsidR="00EF25EE" w:rsidRPr="00940077" w:rsidRDefault="002F6339" w:rsidP="00887E34">
      <w:pPr>
        <w:numPr>
          <w:ilvl w:val="0"/>
          <w:numId w:val="3"/>
        </w:numPr>
      </w:pPr>
      <w:r w:rsidRPr="000337DC">
        <w:rPr>
          <w:rFonts w:eastAsia="Calibri"/>
        </w:rPr>
        <w:t>The Police and Crime Panel</w:t>
      </w:r>
      <w:r w:rsidR="00CC5FED">
        <w:rPr>
          <w:rFonts w:eastAsia="Calibri"/>
        </w:rPr>
        <w:t xml:space="preserve"> </w:t>
      </w:r>
      <w:r w:rsidR="006B11D2" w:rsidRPr="000337DC">
        <w:rPr>
          <w:rFonts w:eastAsia="Calibri"/>
        </w:rPr>
        <w:t xml:space="preserve">supported the </w:t>
      </w:r>
      <w:r w:rsidR="00CC5FED">
        <w:rPr>
          <w:rFonts w:eastAsia="Calibri"/>
        </w:rPr>
        <w:t>Mayor</w:t>
      </w:r>
      <w:r w:rsidRPr="000337DC">
        <w:rPr>
          <w:rFonts w:eastAsia="Calibri"/>
        </w:rPr>
        <w:t>’s precept proposal</w:t>
      </w:r>
      <w:r w:rsidR="006B11D2" w:rsidRPr="000337DC">
        <w:rPr>
          <w:rFonts w:eastAsia="Calibri"/>
        </w:rPr>
        <w:t xml:space="preserve"> at their meeting on </w:t>
      </w:r>
      <w:r w:rsidR="00092BCF">
        <w:rPr>
          <w:rFonts w:eastAsia="Calibri"/>
        </w:rPr>
        <w:t>7</w:t>
      </w:r>
      <w:r w:rsidR="006B11D2" w:rsidRPr="000337DC">
        <w:rPr>
          <w:rFonts w:eastAsia="Calibri"/>
        </w:rPr>
        <w:t xml:space="preserve"> February </w:t>
      </w:r>
      <w:r w:rsidR="00884A5E">
        <w:rPr>
          <w:rFonts w:eastAsia="Calibri"/>
        </w:rPr>
        <w:t>202</w:t>
      </w:r>
      <w:r w:rsidR="00092BCF">
        <w:rPr>
          <w:rFonts w:eastAsia="Calibri"/>
        </w:rPr>
        <w:t>5</w:t>
      </w:r>
      <w:r w:rsidR="00884A5E">
        <w:rPr>
          <w:rFonts w:eastAsia="Calibri"/>
        </w:rPr>
        <w:t xml:space="preserve"> following lengthy debate and recognition by the </w:t>
      </w:r>
      <w:r w:rsidR="00CC5FED">
        <w:rPr>
          <w:rFonts w:eastAsia="Calibri"/>
        </w:rPr>
        <w:t>Mayor</w:t>
      </w:r>
      <w:r w:rsidR="00884A5E">
        <w:rPr>
          <w:rFonts w:eastAsia="Calibri"/>
        </w:rPr>
        <w:t xml:space="preserve"> of the difficult choices to be made and the priorities around protecting the public.</w:t>
      </w:r>
    </w:p>
    <w:p w14:paraId="258DF34F" w14:textId="77777777" w:rsidR="00EF25EE" w:rsidRPr="00524144" w:rsidRDefault="00EF25EE" w:rsidP="00887E34"/>
    <w:p w14:paraId="32C97E2B" w14:textId="736E7C83" w:rsidR="000337DC" w:rsidRPr="00524144" w:rsidRDefault="00884A5E" w:rsidP="00117971">
      <w:pPr>
        <w:numPr>
          <w:ilvl w:val="0"/>
          <w:numId w:val="3"/>
        </w:numPr>
        <w:rPr>
          <w:sz w:val="22"/>
          <w:szCs w:val="22"/>
        </w:rPr>
      </w:pPr>
      <w:r w:rsidRPr="00524144">
        <w:rPr>
          <w:rFonts w:eastAsia="Calibri"/>
        </w:rPr>
        <w:t xml:space="preserve">The </w:t>
      </w:r>
      <w:r w:rsidR="00CC5FED" w:rsidRPr="00524144">
        <w:rPr>
          <w:rFonts w:eastAsia="Calibri"/>
        </w:rPr>
        <w:t>Mayor</w:t>
      </w:r>
      <w:r w:rsidRPr="00524144">
        <w:rPr>
          <w:rFonts w:eastAsia="Calibri"/>
        </w:rPr>
        <w:t>’s proposal will</w:t>
      </w:r>
      <w:r w:rsidR="00120E50" w:rsidRPr="00524144">
        <w:rPr>
          <w:rFonts w:eastAsia="Calibri"/>
        </w:rPr>
        <w:t xml:space="preserve"> result in a budget of </w:t>
      </w:r>
      <w:r w:rsidR="003163C7">
        <w:rPr>
          <w:rFonts w:eastAsia="Calibri"/>
        </w:rPr>
        <w:t>£621</w:t>
      </w:r>
      <w:r w:rsidR="00023259">
        <w:rPr>
          <w:rFonts w:eastAsia="Calibri"/>
        </w:rPr>
        <w:t>.414m.</w:t>
      </w:r>
      <w:r w:rsidR="00120E50" w:rsidRPr="00524144">
        <w:rPr>
          <w:rFonts w:eastAsia="Calibri"/>
        </w:rPr>
        <w:t xml:space="preserve"> </w:t>
      </w:r>
    </w:p>
    <w:p w14:paraId="76FA0911" w14:textId="77777777" w:rsidR="00613F75" w:rsidRDefault="00613F75" w:rsidP="00887E34">
      <w:pPr>
        <w:rPr>
          <w:sz w:val="22"/>
          <w:szCs w:val="22"/>
        </w:rPr>
      </w:pPr>
    </w:p>
    <w:p w14:paraId="713ABC05" w14:textId="77777777" w:rsidR="00940077" w:rsidRDefault="00940077" w:rsidP="00887E34">
      <w:pPr>
        <w:rPr>
          <w:sz w:val="22"/>
          <w:szCs w:val="22"/>
        </w:rPr>
      </w:pPr>
    </w:p>
    <w:p w14:paraId="754C0CEA" w14:textId="239F4DE1" w:rsidR="00524144" w:rsidRDefault="00524144">
      <w:pPr>
        <w:rPr>
          <w:sz w:val="22"/>
          <w:szCs w:val="22"/>
        </w:rPr>
      </w:pPr>
      <w:r>
        <w:rPr>
          <w:sz w:val="22"/>
          <w:szCs w:val="22"/>
        </w:rPr>
        <w:br w:type="page"/>
      </w:r>
    </w:p>
    <w:p w14:paraId="317B78AC" w14:textId="77777777" w:rsidR="00940077" w:rsidRDefault="00940077" w:rsidP="00887E34">
      <w:pPr>
        <w:rPr>
          <w:sz w:val="22"/>
          <w:szCs w:val="22"/>
        </w:rPr>
      </w:pPr>
    </w:p>
    <w:p w14:paraId="01986C04" w14:textId="77777777" w:rsidR="00940077" w:rsidRDefault="00940077" w:rsidP="00887E34">
      <w:pPr>
        <w:rPr>
          <w:sz w:val="22"/>
          <w:szCs w:val="22"/>
        </w:rPr>
      </w:pPr>
    </w:p>
    <w:p w14:paraId="4F74846F" w14:textId="77777777" w:rsidR="007E610C" w:rsidRPr="00B852CB" w:rsidRDefault="007E610C" w:rsidP="00887E34">
      <w:pPr>
        <w:ind w:firstLine="720"/>
        <w:rPr>
          <w:b/>
        </w:rPr>
      </w:pPr>
      <w:r w:rsidRPr="00B852CB">
        <w:rPr>
          <w:b/>
        </w:rPr>
        <w:t xml:space="preserve">CONTENTS </w:t>
      </w:r>
    </w:p>
    <w:tbl>
      <w:tblPr>
        <w:tblW w:w="9856" w:type="dxa"/>
        <w:tblLayout w:type="fixed"/>
        <w:tblLook w:val="0000" w:firstRow="0" w:lastRow="0" w:firstColumn="0" w:lastColumn="0" w:noHBand="0" w:noVBand="0"/>
      </w:tblPr>
      <w:tblGrid>
        <w:gridCol w:w="7208"/>
        <w:gridCol w:w="2648"/>
      </w:tblGrid>
      <w:tr w:rsidR="007E610C" w:rsidRPr="00B852CB" w14:paraId="2E6CD84C" w14:textId="77777777" w:rsidTr="002F6339">
        <w:tc>
          <w:tcPr>
            <w:tcW w:w="7208" w:type="dxa"/>
          </w:tcPr>
          <w:p w14:paraId="44096BE5" w14:textId="77777777" w:rsidR="007E610C" w:rsidRPr="00B852CB" w:rsidRDefault="007E610C" w:rsidP="00887E34">
            <w:pPr>
              <w:rPr>
                <w:b/>
              </w:rPr>
            </w:pPr>
          </w:p>
        </w:tc>
        <w:tc>
          <w:tcPr>
            <w:tcW w:w="2648" w:type="dxa"/>
          </w:tcPr>
          <w:p w14:paraId="387CFFC4" w14:textId="77777777" w:rsidR="007E610C" w:rsidRPr="00B852CB" w:rsidRDefault="007E610C" w:rsidP="00887E34">
            <w:pPr>
              <w:rPr>
                <w:b/>
              </w:rPr>
            </w:pPr>
          </w:p>
        </w:tc>
      </w:tr>
      <w:tr w:rsidR="007E610C" w:rsidRPr="007E610C" w14:paraId="065F75AE" w14:textId="77777777" w:rsidTr="002F6339">
        <w:tc>
          <w:tcPr>
            <w:tcW w:w="7208" w:type="dxa"/>
          </w:tcPr>
          <w:p w14:paraId="20B2AA23" w14:textId="77777777" w:rsidR="007E610C" w:rsidRPr="00935369" w:rsidRDefault="00E7750C" w:rsidP="00887E34">
            <w:r>
              <w:t>1.</w:t>
            </w:r>
            <w:r>
              <w:tab/>
            </w:r>
            <w:r w:rsidR="007E610C" w:rsidRPr="00935369">
              <w:t xml:space="preserve">Purpose of the Report </w:t>
            </w:r>
          </w:p>
        </w:tc>
        <w:tc>
          <w:tcPr>
            <w:tcW w:w="2648" w:type="dxa"/>
          </w:tcPr>
          <w:p w14:paraId="0135C1FB" w14:textId="77777777" w:rsidR="007E610C" w:rsidRPr="00935369" w:rsidRDefault="007E610C" w:rsidP="00887E34"/>
        </w:tc>
      </w:tr>
      <w:tr w:rsidR="007E610C" w:rsidRPr="007E610C" w14:paraId="349FFBC2" w14:textId="77777777" w:rsidTr="002F6339">
        <w:tc>
          <w:tcPr>
            <w:tcW w:w="7208" w:type="dxa"/>
          </w:tcPr>
          <w:p w14:paraId="1732503C" w14:textId="77777777" w:rsidR="007E610C" w:rsidRPr="00935369" w:rsidRDefault="007E610C" w:rsidP="00887E34">
            <w:pPr>
              <w:pStyle w:val="Date"/>
              <w:rPr>
                <w:rFonts w:ascii="Arial" w:hAnsi="Arial"/>
              </w:rPr>
            </w:pPr>
          </w:p>
        </w:tc>
        <w:tc>
          <w:tcPr>
            <w:tcW w:w="2648" w:type="dxa"/>
          </w:tcPr>
          <w:p w14:paraId="003CB95E" w14:textId="77777777" w:rsidR="007E610C" w:rsidRPr="00935369" w:rsidRDefault="007E610C" w:rsidP="00887E34"/>
        </w:tc>
      </w:tr>
      <w:tr w:rsidR="007E610C" w:rsidRPr="007E610C" w14:paraId="1E1A6849" w14:textId="77777777" w:rsidTr="002F6339">
        <w:tc>
          <w:tcPr>
            <w:tcW w:w="7208" w:type="dxa"/>
          </w:tcPr>
          <w:p w14:paraId="788A1EBE" w14:textId="77777777" w:rsidR="007E610C" w:rsidRPr="00935369" w:rsidRDefault="00E7750C" w:rsidP="00887E34">
            <w:pPr>
              <w:pStyle w:val="Date"/>
              <w:rPr>
                <w:rFonts w:ascii="Arial" w:hAnsi="Arial"/>
              </w:rPr>
            </w:pPr>
            <w:r>
              <w:rPr>
                <w:rFonts w:ascii="Arial" w:hAnsi="Arial"/>
              </w:rPr>
              <w:t>2.</w:t>
            </w:r>
            <w:r>
              <w:rPr>
                <w:rFonts w:ascii="Arial" w:hAnsi="Arial"/>
              </w:rPr>
              <w:tab/>
            </w:r>
            <w:r w:rsidR="007E610C" w:rsidRPr="00935369">
              <w:rPr>
                <w:rFonts w:ascii="Arial" w:hAnsi="Arial"/>
              </w:rPr>
              <w:t>Recommendations</w:t>
            </w:r>
          </w:p>
        </w:tc>
        <w:tc>
          <w:tcPr>
            <w:tcW w:w="2648" w:type="dxa"/>
          </w:tcPr>
          <w:p w14:paraId="65CA548C" w14:textId="77777777" w:rsidR="007E610C" w:rsidRPr="00935369" w:rsidRDefault="007E610C" w:rsidP="00887E34"/>
        </w:tc>
      </w:tr>
      <w:tr w:rsidR="007E610C" w:rsidRPr="007E610C" w14:paraId="2F86F959" w14:textId="77777777" w:rsidTr="002F6339">
        <w:tc>
          <w:tcPr>
            <w:tcW w:w="7208" w:type="dxa"/>
          </w:tcPr>
          <w:p w14:paraId="761F81CC" w14:textId="77777777" w:rsidR="007E610C" w:rsidRPr="00935369" w:rsidRDefault="007E610C" w:rsidP="00887E34"/>
        </w:tc>
        <w:tc>
          <w:tcPr>
            <w:tcW w:w="2648" w:type="dxa"/>
          </w:tcPr>
          <w:p w14:paraId="31C361AD" w14:textId="77777777" w:rsidR="007E610C" w:rsidRPr="00935369" w:rsidRDefault="007E610C" w:rsidP="00887E34"/>
        </w:tc>
      </w:tr>
      <w:tr w:rsidR="007E610C" w:rsidRPr="007E610C" w14:paraId="419E920E" w14:textId="77777777" w:rsidTr="002F6339">
        <w:tc>
          <w:tcPr>
            <w:tcW w:w="7208" w:type="dxa"/>
          </w:tcPr>
          <w:p w14:paraId="68189A74" w14:textId="77777777" w:rsidR="007E610C" w:rsidRPr="00935369" w:rsidRDefault="00E7750C" w:rsidP="00887E34">
            <w:r>
              <w:t>3.</w:t>
            </w:r>
            <w:r>
              <w:tab/>
            </w:r>
            <w:r w:rsidR="00F27804" w:rsidRPr="00935369">
              <w:t>Statutory Requirements</w:t>
            </w:r>
          </w:p>
        </w:tc>
        <w:tc>
          <w:tcPr>
            <w:tcW w:w="2648" w:type="dxa"/>
          </w:tcPr>
          <w:p w14:paraId="12EA4D27" w14:textId="77777777" w:rsidR="007E610C" w:rsidRPr="00935369" w:rsidRDefault="007E610C" w:rsidP="00887E34"/>
        </w:tc>
      </w:tr>
      <w:tr w:rsidR="007E610C" w:rsidRPr="007E610C" w14:paraId="5441CF1E" w14:textId="77777777" w:rsidTr="002F6339">
        <w:tc>
          <w:tcPr>
            <w:tcW w:w="7208" w:type="dxa"/>
          </w:tcPr>
          <w:p w14:paraId="7B560876" w14:textId="77777777" w:rsidR="007E610C" w:rsidRPr="00935369" w:rsidRDefault="007E610C" w:rsidP="00887E34"/>
        </w:tc>
        <w:tc>
          <w:tcPr>
            <w:tcW w:w="2648" w:type="dxa"/>
          </w:tcPr>
          <w:p w14:paraId="2E8F8DDB" w14:textId="77777777" w:rsidR="007E610C" w:rsidRPr="00935369" w:rsidRDefault="007E610C" w:rsidP="00887E34"/>
        </w:tc>
      </w:tr>
      <w:tr w:rsidR="007E610C" w:rsidRPr="007E610C" w14:paraId="554F6815" w14:textId="77777777" w:rsidTr="002F6339">
        <w:tc>
          <w:tcPr>
            <w:tcW w:w="7208" w:type="dxa"/>
          </w:tcPr>
          <w:p w14:paraId="7BB39374" w14:textId="62F016EF" w:rsidR="007E610C" w:rsidRPr="00935369" w:rsidRDefault="00E7750C" w:rsidP="00887E34">
            <w:r>
              <w:t>4.</w:t>
            </w:r>
            <w:r>
              <w:tab/>
            </w:r>
            <w:r w:rsidR="00D35AC6">
              <w:t>Forecast Outturn 20</w:t>
            </w:r>
            <w:r w:rsidR="00B34540">
              <w:t>2</w:t>
            </w:r>
            <w:r w:rsidR="00D13C7F">
              <w:t>4/25</w:t>
            </w:r>
          </w:p>
        </w:tc>
        <w:tc>
          <w:tcPr>
            <w:tcW w:w="2648" w:type="dxa"/>
          </w:tcPr>
          <w:p w14:paraId="332CB603" w14:textId="77777777" w:rsidR="007E610C" w:rsidRPr="00935369" w:rsidRDefault="007E610C" w:rsidP="00887E34"/>
        </w:tc>
      </w:tr>
      <w:tr w:rsidR="007E610C" w:rsidRPr="007E610C" w14:paraId="591A5A8B" w14:textId="77777777" w:rsidTr="002F6339">
        <w:tc>
          <w:tcPr>
            <w:tcW w:w="7208" w:type="dxa"/>
          </w:tcPr>
          <w:p w14:paraId="6258C30C" w14:textId="77777777" w:rsidR="007E610C" w:rsidRPr="00935369" w:rsidRDefault="007E610C" w:rsidP="00887E34"/>
        </w:tc>
        <w:tc>
          <w:tcPr>
            <w:tcW w:w="2648" w:type="dxa"/>
          </w:tcPr>
          <w:p w14:paraId="023F7FE6" w14:textId="77777777" w:rsidR="007E610C" w:rsidRPr="00935369" w:rsidRDefault="007E610C" w:rsidP="00887E34"/>
        </w:tc>
      </w:tr>
      <w:tr w:rsidR="007E610C" w:rsidRPr="007E610C" w14:paraId="7B79CBE9" w14:textId="77777777" w:rsidTr="002F6339">
        <w:tc>
          <w:tcPr>
            <w:tcW w:w="7208" w:type="dxa"/>
          </w:tcPr>
          <w:p w14:paraId="631064FB" w14:textId="52631CA1" w:rsidR="007E610C" w:rsidRPr="00935369" w:rsidRDefault="00E7750C" w:rsidP="00887E34">
            <w:r>
              <w:t>5.</w:t>
            </w:r>
            <w:r>
              <w:tab/>
            </w:r>
            <w:r w:rsidR="007E610C" w:rsidRPr="00935369">
              <w:t xml:space="preserve">Revenue Resources </w:t>
            </w:r>
            <w:r w:rsidR="00D35AC6">
              <w:t>20</w:t>
            </w:r>
            <w:r w:rsidR="00B34540">
              <w:t>2</w:t>
            </w:r>
            <w:r w:rsidR="00D13C7F">
              <w:t>5/26</w:t>
            </w:r>
          </w:p>
        </w:tc>
        <w:tc>
          <w:tcPr>
            <w:tcW w:w="2648" w:type="dxa"/>
          </w:tcPr>
          <w:p w14:paraId="06FEE3E7" w14:textId="77777777" w:rsidR="007E610C" w:rsidRPr="00935369" w:rsidRDefault="007E610C" w:rsidP="00887E34"/>
        </w:tc>
      </w:tr>
      <w:tr w:rsidR="007E610C" w:rsidRPr="007E610C" w14:paraId="6661A6F9" w14:textId="77777777" w:rsidTr="002F6339">
        <w:tc>
          <w:tcPr>
            <w:tcW w:w="7208" w:type="dxa"/>
          </w:tcPr>
          <w:p w14:paraId="0A90B64A" w14:textId="77777777" w:rsidR="007E610C" w:rsidRPr="00935369" w:rsidRDefault="007E610C" w:rsidP="00887E34"/>
        </w:tc>
        <w:tc>
          <w:tcPr>
            <w:tcW w:w="2648" w:type="dxa"/>
          </w:tcPr>
          <w:p w14:paraId="6CADE61C" w14:textId="77777777" w:rsidR="007E610C" w:rsidRPr="00935369" w:rsidRDefault="007E610C" w:rsidP="00887E34"/>
        </w:tc>
      </w:tr>
      <w:tr w:rsidR="007E610C" w:rsidRPr="007E610C" w14:paraId="6572C8BC" w14:textId="77777777" w:rsidTr="002F6339">
        <w:tc>
          <w:tcPr>
            <w:tcW w:w="7208" w:type="dxa"/>
          </w:tcPr>
          <w:p w14:paraId="4B4F8063" w14:textId="77777777" w:rsidR="007E610C" w:rsidRPr="00935369" w:rsidRDefault="00E7750C" w:rsidP="00887E34">
            <w:r>
              <w:t>6.</w:t>
            </w:r>
            <w:r>
              <w:tab/>
            </w:r>
            <w:r w:rsidR="007E610C" w:rsidRPr="00935369">
              <w:t>Council Tax Referendum Limits</w:t>
            </w:r>
          </w:p>
        </w:tc>
        <w:tc>
          <w:tcPr>
            <w:tcW w:w="2648" w:type="dxa"/>
          </w:tcPr>
          <w:p w14:paraId="43FD3F50" w14:textId="77777777" w:rsidR="007E610C" w:rsidRPr="00935369" w:rsidRDefault="007E610C" w:rsidP="00887E34"/>
        </w:tc>
      </w:tr>
      <w:tr w:rsidR="007E610C" w:rsidRPr="007E610C" w14:paraId="0D125D57" w14:textId="77777777" w:rsidTr="002F6339">
        <w:tc>
          <w:tcPr>
            <w:tcW w:w="7208" w:type="dxa"/>
          </w:tcPr>
          <w:p w14:paraId="7F8BCAFB" w14:textId="77777777" w:rsidR="007E610C" w:rsidRPr="00935369" w:rsidRDefault="007E610C" w:rsidP="00887E34"/>
        </w:tc>
        <w:tc>
          <w:tcPr>
            <w:tcW w:w="2648" w:type="dxa"/>
          </w:tcPr>
          <w:p w14:paraId="30F6F499" w14:textId="77777777" w:rsidR="007E610C" w:rsidRPr="00935369" w:rsidRDefault="007E610C" w:rsidP="00887E34"/>
        </w:tc>
      </w:tr>
      <w:tr w:rsidR="007E610C" w:rsidRPr="007E610C" w14:paraId="296ECE97" w14:textId="77777777" w:rsidTr="002F6339">
        <w:tc>
          <w:tcPr>
            <w:tcW w:w="7208" w:type="dxa"/>
          </w:tcPr>
          <w:p w14:paraId="14937839" w14:textId="7E5CCEB0" w:rsidR="007E610C" w:rsidRPr="00935369" w:rsidRDefault="003E11BE" w:rsidP="00887E34">
            <w:r>
              <w:t>7.</w:t>
            </w:r>
            <w:r>
              <w:tab/>
            </w:r>
            <w:r w:rsidR="006B11D2">
              <w:t xml:space="preserve">Capital Resources </w:t>
            </w:r>
            <w:r w:rsidR="00D35AC6">
              <w:t>20</w:t>
            </w:r>
            <w:r w:rsidR="00B34540">
              <w:t>2</w:t>
            </w:r>
            <w:r w:rsidR="00D13C7F">
              <w:t>5/26</w:t>
            </w:r>
          </w:p>
        </w:tc>
        <w:tc>
          <w:tcPr>
            <w:tcW w:w="2648" w:type="dxa"/>
          </w:tcPr>
          <w:p w14:paraId="7877DD39" w14:textId="77777777" w:rsidR="007E610C" w:rsidRPr="00935369" w:rsidRDefault="007E610C" w:rsidP="00887E34"/>
        </w:tc>
      </w:tr>
      <w:tr w:rsidR="007E610C" w:rsidRPr="007E610C" w14:paraId="65C628C1" w14:textId="77777777" w:rsidTr="002F6339">
        <w:tc>
          <w:tcPr>
            <w:tcW w:w="7208" w:type="dxa"/>
          </w:tcPr>
          <w:p w14:paraId="1AF84C80" w14:textId="77777777" w:rsidR="007E610C" w:rsidRPr="00935369" w:rsidRDefault="007E610C" w:rsidP="00887E34"/>
        </w:tc>
        <w:tc>
          <w:tcPr>
            <w:tcW w:w="2648" w:type="dxa"/>
          </w:tcPr>
          <w:p w14:paraId="429B9594" w14:textId="77777777" w:rsidR="007E610C" w:rsidRPr="00935369" w:rsidRDefault="007E610C" w:rsidP="00887E34"/>
        </w:tc>
      </w:tr>
      <w:tr w:rsidR="007E610C" w:rsidRPr="007E610C" w14:paraId="651EBF1B" w14:textId="77777777" w:rsidTr="002F6339">
        <w:tc>
          <w:tcPr>
            <w:tcW w:w="7208" w:type="dxa"/>
          </w:tcPr>
          <w:p w14:paraId="7E1653B8" w14:textId="17AFA597" w:rsidR="007E610C" w:rsidRPr="00935369" w:rsidRDefault="003E11BE" w:rsidP="00887E34">
            <w:r>
              <w:t>8.</w:t>
            </w:r>
            <w:r>
              <w:tab/>
            </w:r>
            <w:r w:rsidR="00F27804" w:rsidRPr="00935369">
              <w:t xml:space="preserve">Revenue Budget </w:t>
            </w:r>
            <w:r w:rsidR="00D35AC6">
              <w:t>20</w:t>
            </w:r>
            <w:r w:rsidR="00B34540">
              <w:t>2</w:t>
            </w:r>
            <w:r w:rsidR="00D13C7F">
              <w:t>5/26</w:t>
            </w:r>
          </w:p>
        </w:tc>
        <w:tc>
          <w:tcPr>
            <w:tcW w:w="2648" w:type="dxa"/>
          </w:tcPr>
          <w:p w14:paraId="3996B15B" w14:textId="77777777" w:rsidR="007E610C" w:rsidRPr="00935369" w:rsidRDefault="007E610C" w:rsidP="00887E34"/>
        </w:tc>
      </w:tr>
      <w:tr w:rsidR="002F6339" w:rsidRPr="007E610C" w14:paraId="3327BFE5" w14:textId="77777777" w:rsidTr="002F6339">
        <w:tc>
          <w:tcPr>
            <w:tcW w:w="7208" w:type="dxa"/>
          </w:tcPr>
          <w:p w14:paraId="679660D9" w14:textId="77777777" w:rsidR="002F6339" w:rsidRPr="00935369" w:rsidRDefault="002F6339" w:rsidP="00887E34"/>
        </w:tc>
        <w:tc>
          <w:tcPr>
            <w:tcW w:w="2648" w:type="dxa"/>
          </w:tcPr>
          <w:p w14:paraId="0F0E5035" w14:textId="77777777" w:rsidR="002F6339" w:rsidRPr="00935369" w:rsidRDefault="002F6339" w:rsidP="00887E34"/>
        </w:tc>
      </w:tr>
      <w:tr w:rsidR="007E610C" w:rsidRPr="007E610C" w14:paraId="00B18978" w14:textId="77777777" w:rsidTr="002F6339">
        <w:tc>
          <w:tcPr>
            <w:tcW w:w="7208" w:type="dxa"/>
          </w:tcPr>
          <w:p w14:paraId="16F98857" w14:textId="1583A350" w:rsidR="007E610C" w:rsidRPr="00935369" w:rsidRDefault="003E11BE" w:rsidP="00887E34">
            <w:r>
              <w:t>9.</w:t>
            </w:r>
            <w:r>
              <w:tab/>
            </w:r>
            <w:r w:rsidR="006B11D2">
              <w:t xml:space="preserve">Capital Programme </w:t>
            </w:r>
            <w:r w:rsidR="00D35AC6">
              <w:t>20</w:t>
            </w:r>
            <w:r w:rsidR="00B34540">
              <w:t>2</w:t>
            </w:r>
            <w:r w:rsidR="007A1A79">
              <w:t>5/26</w:t>
            </w:r>
          </w:p>
        </w:tc>
        <w:tc>
          <w:tcPr>
            <w:tcW w:w="2648" w:type="dxa"/>
          </w:tcPr>
          <w:p w14:paraId="7DF02467" w14:textId="77777777" w:rsidR="007E610C" w:rsidRPr="00935369" w:rsidRDefault="007E610C" w:rsidP="00887E34"/>
        </w:tc>
      </w:tr>
      <w:tr w:rsidR="002F6339" w:rsidRPr="007E610C" w14:paraId="680CEAE0" w14:textId="77777777" w:rsidTr="002F6339">
        <w:tc>
          <w:tcPr>
            <w:tcW w:w="7208" w:type="dxa"/>
          </w:tcPr>
          <w:p w14:paraId="35F3726C" w14:textId="77777777" w:rsidR="002F6339" w:rsidRPr="00935369" w:rsidRDefault="002F6339" w:rsidP="00887E34"/>
        </w:tc>
        <w:tc>
          <w:tcPr>
            <w:tcW w:w="2648" w:type="dxa"/>
          </w:tcPr>
          <w:p w14:paraId="57796B0E" w14:textId="77777777" w:rsidR="002F6339" w:rsidRPr="00935369" w:rsidRDefault="002F6339" w:rsidP="00887E34"/>
        </w:tc>
      </w:tr>
      <w:tr w:rsidR="002F6339" w:rsidRPr="007E610C" w14:paraId="247F6143" w14:textId="77777777" w:rsidTr="002F6339">
        <w:tc>
          <w:tcPr>
            <w:tcW w:w="7208" w:type="dxa"/>
          </w:tcPr>
          <w:p w14:paraId="529B77B4" w14:textId="77777777" w:rsidR="003E11BE" w:rsidRDefault="003E11BE" w:rsidP="00887E34">
            <w:r>
              <w:t>10.</w:t>
            </w:r>
            <w:r>
              <w:tab/>
            </w:r>
            <w:r w:rsidR="0006422E">
              <w:t>Strategic Planning</w:t>
            </w:r>
          </w:p>
          <w:p w14:paraId="314C168C" w14:textId="77777777" w:rsidR="003E11BE" w:rsidRDefault="003E11BE" w:rsidP="00887E34"/>
          <w:p w14:paraId="4F09D0C0" w14:textId="77777777" w:rsidR="002F6339" w:rsidRPr="00935369" w:rsidRDefault="003E11BE" w:rsidP="00887E34">
            <w:r>
              <w:t>11.</w:t>
            </w:r>
            <w:r>
              <w:tab/>
            </w:r>
            <w:r w:rsidRPr="00935369">
              <w:t>Operation</w:t>
            </w:r>
            <w:r>
              <w:t>al Context</w:t>
            </w:r>
            <w:r w:rsidRPr="00935369">
              <w:t xml:space="preserve"> </w:t>
            </w:r>
          </w:p>
        </w:tc>
        <w:tc>
          <w:tcPr>
            <w:tcW w:w="2648" w:type="dxa"/>
          </w:tcPr>
          <w:p w14:paraId="469A3210" w14:textId="77777777" w:rsidR="002F6339" w:rsidRPr="00935369" w:rsidRDefault="002F6339" w:rsidP="00887E34"/>
        </w:tc>
      </w:tr>
      <w:tr w:rsidR="002F6339" w:rsidRPr="007E610C" w14:paraId="0E76AD28" w14:textId="77777777" w:rsidTr="002F6339">
        <w:tc>
          <w:tcPr>
            <w:tcW w:w="7208" w:type="dxa"/>
          </w:tcPr>
          <w:p w14:paraId="45C30BD3" w14:textId="77777777" w:rsidR="002F6339" w:rsidRPr="00935369" w:rsidRDefault="002F6339" w:rsidP="00887E34"/>
        </w:tc>
        <w:tc>
          <w:tcPr>
            <w:tcW w:w="2648" w:type="dxa"/>
          </w:tcPr>
          <w:p w14:paraId="66A9783D" w14:textId="77777777" w:rsidR="002F6339" w:rsidRPr="00935369" w:rsidRDefault="002F6339" w:rsidP="00887E34"/>
        </w:tc>
      </w:tr>
      <w:tr w:rsidR="003E11BE" w:rsidRPr="007E610C" w14:paraId="60CAF867" w14:textId="77777777" w:rsidTr="002F6339">
        <w:tc>
          <w:tcPr>
            <w:tcW w:w="7208" w:type="dxa"/>
          </w:tcPr>
          <w:p w14:paraId="79DD87B5" w14:textId="77777777" w:rsidR="003E11BE" w:rsidRPr="00935369" w:rsidRDefault="003E11BE" w:rsidP="00887E34">
            <w:r>
              <w:t>12.</w:t>
            </w:r>
            <w:r>
              <w:tab/>
            </w:r>
            <w:r w:rsidRPr="00935369">
              <w:t>Provisions, Reserves and Balances</w:t>
            </w:r>
          </w:p>
        </w:tc>
        <w:tc>
          <w:tcPr>
            <w:tcW w:w="2648" w:type="dxa"/>
          </w:tcPr>
          <w:p w14:paraId="42AC2317" w14:textId="77777777" w:rsidR="003E11BE" w:rsidRPr="00935369" w:rsidRDefault="003E11BE" w:rsidP="00887E34"/>
        </w:tc>
      </w:tr>
      <w:tr w:rsidR="003E11BE" w:rsidRPr="007E610C" w14:paraId="73EC3E60" w14:textId="77777777" w:rsidTr="002F6339">
        <w:tc>
          <w:tcPr>
            <w:tcW w:w="7208" w:type="dxa"/>
          </w:tcPr>
          <w:p w14:paraId="65A87975" w14:textId="77777777" w:rsidR="003E11BE" w:rsidRPr="00935369" w:rsidRDefault="003E11BE" w:rsidP="00887E34"/>
        </w:tc>
        <w:tc>
          <w:tcPr>
            <w:tcW w:w="2648" w:type="dxa"/>
          </w:tcPr>
          <w:p w14:paraId="0B4868E1" w14:textId="77777777" w:rsidR="003E11BE" w:rsidRPr="00935369" w:rsidRDefault="003E11BE" w:rsidP="00887E34"/>
        </w:tc>
      </w:tr>
      <w:tr w:rsidR="003E11BE" w:rsidRPr="007E610C" w14:paraId="578FC1C2" w14:textId="77777777" w:rsidTr="002F6339">
        <w:tc>
          <w:tcPr>
            <w:tcW w:w="7208" w:type="dxa"/>
          </w:tcPr>
          <w:p w14:paraId="4921E362" w14:textId="77777777" w:rsidR="003E11BE" w:rsidRPr="00935369" w:rsidRDefault="003E11BE" w:rsidP="00887E34">
            <w:r>
              <w:t>13.</w:t>
            </w:r>
            <w:r>
              <w:tab/>
            </w:r>
            <w:r w:rsidRPr="00935369">
              <w:t>Longer Term Projections</w:t>
            </w:r>
          </w:p>
        </w:tc>
        <w:tc>
          <w:tcPr>
            <w:tcW w:w="2648" w:type="dxa"/>
          </w:tcPr>
          <w:p w14:paraId="341CFFD8" w14:textId="77777777" w:rsidR="003E11BE" w:rsidRPr="00935369" w:rsidRDefault="003E11BE" w:rsidP="00887E34"/>
        </w:tc>
      </w:tr>
      <w:tr w:rsidR="003E11BE" w:rsidRPr="007E610C" w14:paraId="00C86701" w14:textId="77777777" w:rsidTr="002F6339">
        <w:tc>
          <w:tcPr>
            <w:tcW w:w="7208" w:type="dxa"/>
          </w:tcPr>
          <w:p w14:paraId="41090379" w14:textId="77777777" w:rsidR="003E11BE" w:rsidRPr="00935369" w:rsidRDefault="003E11BE" w:rsidP="00887E34"/>
        </w:tc>
        <w:tc>
          <w:tcPr>
            <w:tcW w:w="2648" w:type="dxa"/>
          </w:tcPr>
          <w:p w14:paraId="11D70430" w14:textId="77777777" w:rsidR="003E11BE" w:rsidRPr="00935369" w:rsidRDefault="003E11BE" w:rsidP="00887E34"/>
        </w:tc>
      </w:tr>
      <w:tr w:rsidR="003E11BE" w:rsidRPr="007E610C" w14:paraId="0C76B9CC" w14:textId="77777777" w:rsidTr="002F6339">
        <w:tc>
          <w:tcPr>
            <w:tcW w:w="7208" w:type="dxa"/>
          </w:tcPr>
          <w:p w14:paraId="2324425E" w14:textId="77777777" w:rsidR="003E11BE" w:rsidRPr="00935369" w:rsidRDefault="003E11BE" w:rsidP="00887E34">
            <w:r>
              <w:t>14.</w:t>
            </w:r>
            <w:r>
              <w:tab/>
            </w:r>
            <w:r w:rsidRPr="00935369">
              <w:t>Council Tax Options</w:t>
            </w:r>
          </w:p>
        </w:tc>
        <w:tc>
          <w:tcPr>
            <w:tcW w:w="2648" w:type="dxa"/>
          </w:tcPr>
          <w:p w14:paraId="4112E20C" w14:textId="77777777" w:rsidR="003E11BE" w:rsidRPr="00935369" w:rsidRDefault="003E11BE" w:rsidP="00887E34"/>
        </w:tc>
      </w:tr>
      <w:tr w:rsidR="003E11BE" w:rsidRPr="007E610C" w14:paraId="178FD651" w14:textId="77777777" w:rsidTr="002F6339">
        <w:tc>
          <w:tcPr>
            <w:tcW w:w="7208" w:type="dxa"/>
          </w:tcPr>
          <w:p w14:paraId="41C27138" w14:textId="77777777" w:rsidR="003E11BE" w:rsidRPr="00935369" w:rsidRDefault="003E11BE" w:rsidP="00887E34"/>
        </w:tc>
        <w:tc>
          <w:tcPr>
            <w:tcW w:w="2648" w:type="dxa"/>
          </w:tcPr>
          <w:p w14:paraId="5B7E4E54" w14:textId="77777777" w:rsidR="003E11BE" w:rsidRPr="00935369" w:rsidRDefault="003E11BE" w:rsidP="00887E34"/>
        </w:tc>
      </w:tr>
      <w:tr w:rsidR="003E11BE" w:rsidRPr="007E610C" w14:paraId="1E72EE92" w14:textId="77777777" w:rsidTr="002F6339">
        <w:tc>
          <w:tcPr>
            <w:tcW w:w="7208" w:type="dxa"/>
          </w:tcPr>
          <w:p w14:paraId="041DA730" w14:textId="77777777" w:rsidR="003E11BE" w:rsidRPr="00935369" w:rsidRDefault="003E11BE" w:rsidP="00887E34">
            <w:r>
              <w:t>15.</w:t>
            </w:r>
            <w:r>
              <w:tab/>
              <w:t>The Precept Proposal</w:t>
            </w:r>
          </w:p>
        </w:tc>
        <w:tc>
          <w:tcPr>
            <w:tcW w:w="2648" w:type="dxa"/>
          </w:tcPr>
          <w:p w14:paraId="00A3940A" w14:textId="77777777" w:rsidR="003E11BE" w:rsidRPr="00935369" w:rsidRDefault="003E11BE" w:rsidP="00887E34"/>
        </w:tc>
      </w:tr>
      <w:tr w:rsidR="003E11BE" w:rsidRPr="007E610C" w14:paraId="454B7438" w14:textId="77777777" w:rsidTr="002F6339">
        <w:tc>
          <w:tcPr>
            <w:tcW w:w="7208" w:type="dxa"/>
          </w:tcPr>
          <w:p w14:paraId="3A370D97" w14:textId="77777777" w:rsidR="003E11BE" w:rsidRPr="00935369" w:rsidRDefault="003E11BE" w:rsidP="00887E34"/>
        </w:tc>
        <w:tc>
          <w:tcPr>
            <w:tcW w:w="2648" w:type="dxa"/>
          </w:tcPr>
          <w:p w14:paraId="6D1121D2" w14:textId="77777777" w:rsidR="003E11BE" w:rsidRPr="00935369" w:rsidRDefault="003E11BE" w:rsidP="00887E34"/>
        </w:tc>
      </w:tr>
      <w:tr w:rsidR="003E11BE" w:rsidRPr="007E610C" w14:paraId="07C6778D" w14:textId="77777777" w:rsidTr="002F6339">
        <w:tc>
          <w:tcPr>
            <w:tcW w:w="7208" w:type="dxa"/>
          </w:tcPr>
          <w:p w14:paraId="7AB656CA" w14:textId="77777777" w:rsidR="003E11BE" w:rsidRPr="00935369" w:rsidRDefault="003E11BE" w:rsidP="00887E34">
            <w:r>
              <w:t>16.</w:t>
            </w:r>
            <w:r>
              <w:tab/>
            </w:r>
            <w:r w:rsidRPr="00935369">
              <w:t>Robustness of the Estimates and Adequacy of Reserves</w:t>
            </w:r>
          </w:p>
        </w:tc>
        <w:tc>
          <w:tcPr>
            <w:tcW w:w="2648" w:type="dxa"/>
          </w:tcPr>
          <w:p w14:paraId="402C8A67" w14:textId="77777777" w:rsidR="003E11BE" w:rsidRPr="00935369" w:rsidRDefault="003E11BE" w:rsidP="00887E34"/>
        </w:tc>
      </w:tr>
      <w:tr w:rsidR="003E11BE" w:rsidRPr="007E610C" w14:paraId="1D224525" w14:textId="77777777" w:rsidTr="002F6339">
        <w:tc>
          <w:tcPr>
            <w:tcW w:w="7208" w:type="dxa"/>
          </w:tcPr>
          <w:p w14:paraId="63E4FF70" w14:textId="77777777" w:rsidR="003E11BE" w:rsidRPr="00935369" w:rsidRDefault="003E11BE" w:rsidP="00887E34"/>
        </w:tc>
        <w:tc>
          <w:tcPr>
            <w:tcW w:w="2648" w:type="dxa"/>
          </w:tcPr>
          <w:p w14:paraId="632853C3" w14:textId="77777777" w:rsidR="003E11BE" w:rsidRPr="00935369" w:rsidRDefault="003E11BE" w:rsidP="00887E34"/>
        </w:tc>
      </w:tr>
      <w:tr w:rsidR="003E11BE" w:rsidRPr="007E610C" w14:paraId="4FEE3B05" w14:textId="77777777" w:rsidTr="002F6339">
        <w:tc>
          <w:tcPr>
            <w:tcW w:w="7208" w:type="dxa"/>
          </w:tcPr>
          <w:p w14:paraId="46C36619" w14:textId="77777777" w:rsidR="003E11BE" w:rsidRPr="00935369" w:rsidRDefault="003E11BE" w:rsidP="00887E34">
            <w:r>
              <w:t>17.</w:t>
            </w:r>
            <w:r>
              <w:tab/>
            </w:r>
            <w:r w:rsidRPr="00935369">
              <w:t xml:space="preserve">Notification to the </w:t>
            </w:r>
            <w:smartTag w:uri="urn:schemas-microsoft-com:office:smarttags" w:element="PersonName">
              <w:smartTag w:uri="urn:schemas-microsoft-com:office:smarttags" w:element="place">
                <w:r w:rsidRPr="00935369">
                  <w:t>West Yorkshire</w:t>
                </w:r>
              </w:smartTag>
              <w:r w:rsidRPr="00935369">
                <w:t xml:space="preserve"> Police</w:t>
              </w:r>
            </w:smartTag>
            <w:r w:rsidRPr="00935369">
              <w:t xml:space="preserve"> and Crime Panel</w:t>
            </w:r>
          </w:p>
        </w:tc>
        <w:tc>
          <w:tcPr>
            <w:tcW w:w="2648" w:type="dxa"/>
          </w:tcPr>
          <w:p w14:paraId="513095C3" w14:textId="77777777" w:rsidR="003E11BE" w:rsidRPr="00935369" w:rsidRDefault="003E11BE" w:rsidP="00887E34"/>
        </w:tc>
      </w:tr>
      <w:tr w:rsidR="003E11BE" w:rsidRPr="007E610C" w14:paraId="01D4E1E0" w14:textId="77777777" w:rsidTr="002F6339">
        <w:tc>
          <w:tcPr>
            <w:tcW w:w="7208" w:type="dxa"/>
          </w:tcPr>
          <w:p w14:paraId="015B1F37" w14:textId="77777777" w:rsidR="003E11BE" w:rsidRPr="00935369" w:rsidRDefault="003E11BE" w:rsidP="00887E34"/>
        </w:tc>
        <w:tc>
          <w:tcPr>
            <w:tcW w:w="2648" w:type="dxa"/>
          </w:tcPr>
          <w:p w14:paraId="1FC91FC7" w14:textId="77777777" w:rsidR="003E11BE" w:rsidRPr="00935369" w:rsidRDefault="003E11BE" w:rsidP="00887E34"/>
        </w:tc>
      </w:tr>
    </w:tbl>
    <w:p w14:paraId="5EE9FF6A" w14:textId="77777777" w:rsidR="007E610C" w:rsidRPr="007E610C" w:rsidRDefault="007E610C" w:rsidP="00887E34">
      <w:pPr>
        <w:rPr>
          <w:b/>
        </w:rPr>
      </w:pPr>
      <w:r w:rsidRPr="007E610C">
        <w:rPr>
          <w:b/>
        </w:rPr>
        <w:br w:type="page"/>
      </w:r>
    </w:p>
    <w:tbl>
      <w:tblPr>
        <w:tblW w:w="9856" w:type="dxa"/>
        <w:tblLayout w:type="fixed"/>
        <w:tblLook w:val="0000" w:firstRow="0" w:lastRow="0" w:firstColumn="0" w:lastColumn="0" w:noHBand="0" w:noVBand="0"/>
      </w:tblPr>
      <w:tblGrid>
        <w:gridCol w:w="7763"/>
        <w:gridCol w:w="2093"/>
      </w:tblGrid>
      <w:tr w:rsidR="007E610C" w:rsidRPr="007E610C" w14:paraId="19206EA2" w14:textId="77777777" w:rsidTr="00412735">
        <w:tc>
          <w:tcPr>
            <w:tcW w:w="7763" w:type="dxa"/>
          </w:tcPr>
          <w:p w14:paraId="51F86E12" w14:textId="77777777" w:rsidR="007E610C" w:rsidRPr="007E610C" w:rsidRDefault="007E610C" w:rsidP="00887E34">
            <w:pPr>
              <w:rPr>
                <w:b/>
              </w:rPr>
            </w:pPr>
          </w:p>
        </w:tc>
        <w:tc>
          <w:tcPr>
            <w:tcW w:w="2093" w:type="dxa"/>
          </w:tcPr>
          <w:p w14:paraId="42A3988F" w14:textId="77777777" w:rsidR="007E610C" w:rsidRPr="007E610C" w:rsidRDefault="007E610C" w:rsidP="00887E34">
            <w:pPr>
              <w:rPr>
                <w:b/>
              </w:rPr>
            </w:pPr>
          </w:p>
        </w:tc>
      </w:tr>
      <w:tr w:rsidR="007E610C" w:rsidRPr="007E610C" w14:paraId="0FDFCC1D" w14:textId="77777777" w:rsidTr="00412735">
        <w:tc>
          <w:tcPr>
            <w:tcW w:w="7763" w:type="dxa"/>
          </w:tcPr>
          <w:p w14:paraId="0C40F7AC" w14:textId="77777777" w:rsidR="007E610C" w:rsidRPr="007E610C" w:rsidRDefault="007E610C" w:rsidP="00887E34">
            <w:pPr>
              <w:rPr>
                <w:b/>
                <w:u w:val="single"/>
              </w:rPr>
            </w:pPr>
            <w:r w:rsidRPr="007E610C">
              <w:rPr>
                <w:b/>
                <w:u w:val="single"/>
              </w:rPr>
              <w:t>Appendices</w:t>
            </w:r>
          </w:p>
        </w:tc>
        <w:tc>
          <w:tcPr>
            <w:tcW w:w="2093" w:type="dxa"/>
          </w:tcPr>
          <w:p w14:paraId="336A4B84" w14:textId="77777777" w:rsidR="007E610C" w:rsidRPr="007E610C" w:rsidRDefault="007E610C" w:rsidP="00887E34">
            <w:pPr>
              <w:rPr>
                <w:b/>
              </w:rPr>
            </w:pPr>
          </w:p>
        </w:tc>
      </w:tr>
      <w:tr w:rsidR="007E610C" w:rsidRPr="007E610C" w14:paraId="5E85A159" w14:textId="77777777" w:rsidTr="00412735">
        <w:trPr>
          <w:trHeight w:val="5520"/>
        </w:trPr>
        <w:tc>
          <w:tcPr>
            <w:tcW w:w="9856" w:type="dxa"/>
            <w:gridSpan w:val="2"/>
          </w:tcPr>
          <w:p w14:paraId="17A6411D" w14:textId="77777777" w:rsidR="007E610C" w:rsidRPr="00935369" w:rsidRDefault="007E610C" w:rsidP="00887E34"/>
          <w:p w14:paraId="601CC170" w14:textId="3EFC34D2" w:rsidR="007E610C" w:rsidRPr="00A6301B" w:rsidRDefault="007E610C" w:rsidP="00887E34">
            <w:pPr>
              <w:ind w:left="720" w:hanging="720"/>
            </w:pPr>
            <w:r w:rsidRPr="00A6301B">
              <w:t>A</w:t>
            </w:r>
            <w:r w:rsidRPr="00A6301B">
              <w:tab/>
            </w:r>
            <w:r w:rsidR="005C6B86">
              <w:t>Mayor</w:t>
            </w:r>
            <w:r w:rsidR="006B11D2" w:rsidRPr="00A6301B">
              <w:t>’s</w:t>
            </w:r>
            <w:r w:rsidR="005C6B86">
              <w:t xml:space="preserve"> Police and Crime Team</w:t>
            </w:r>
            <w:r w:rsidR="006B11D2" w:rsidRPr="00A6301B">
              <w:t xml:space="preserve"> Budget </w:t>
            </w:r>
            <w:r w:rsidR="00B34540">
              <w:t>202</w:t>
            </w:r>
            <w:r w:rsidR="00460E3D">
              <w:t>5/26</w:t>
            </w:r>
          </w:p>
          <w:p w14:paraId="4A35BF9A" w14:textId="77777777" w:rsidR="007E610C" w:rsidRPr="00A6301B" w:rsidRDefault="007E610C" w:rsidP="00887E34"/>
          <w:p w14:paraId="0B044F97" w14:textId="79BFFEBF" w:rsidR="007E610C" w:rsidRPr="00A6301B" w:rsidRDefault="007E610C" w:rsidP="00887E34">
            <w:r w:rsidRPr="00A6301B">
              <w:t>B</w:t>
            </w:r>
            <w:r w:rsidR="006B11D2" w:rsidRPr="00A6301B">
              <w:tab/>
            </w:r>
            <w:r w:rsidR="009E1854">
              <w:t>Ma</w:t>
            </w:r>
            <w:r w:rsidR="000646EB">
              <w:t>yor’s Response to the Police and Crime Panel</w:t>
            </w:r>
          </w:p>
          <w:p w14:paraId="3F6E02C3" w14:textId="77777777" w:rsidR="007E610C" w:rsidRPr="00A6301B" w:rsidRDefault="007E610C" w:rsidP="00887E34"/>
          <w:p w14:paraId="7A6CC170" w14:textId="4D7A620C" w:rsidR="007E610C" w:rsidRPr="00A6301B" w:rsidRDefault="007E610C" w:rsidP="00887E34">
            <w:r w:rsidRPr="00A6301B">
              <w:t>C</w:t>
            </w:r>
            <w:r w:rsidRPr="00A6301B">
              <w:tab/>
            </w:r>
            <w:r w:rsidR="009E1854">
              <w:t>Summary Movement Statement 2024/25 to 2025/26</w:t>
            </w:r>
          </w:p>
          <w:p w14:paraId="3945D448" w14:textId="77777777" w:rsidR="007E610C" w:rsidRPr="00A6301B" w:rsidRDefault="007E610C" w:rsidP="00887E34"/>
          <w:p w14:paraId="46EDABE4" w14:textId="02CF02C8" w:rsidR="007E610C" w:rsidRPr="00A6301B" w:rsidRDefault="00F27804" w:rsidP="00887E34">
            <w:pPr>
              <w:ind w:left="720" w:hanging="720"/>
            </w:pPr>
            <w:r w:rsidRPr="00A6301B">
              <w:t>D</w:t>
            </w:r>
            <w:r w:rsidRPr="00A6301B">
              <w:tab/>
              <w:t xml:space="preserve">Capital Forecast </w:t>
            </w:r>
            <w:r w:rsidR="0004374B">
              <w:t>202</w:t>
            </w:r>
            <w:r w:rsidR="00D448C5">
              <w:t>4/25 to 202</w:t>
            </w:r>
            <w:r w:rsidR="00CA5D44">
              <w:t>8/29</w:t>
            </w:r>
          </w:p>
          <w:p w14:paraId="26E82C96" w14:textId="77777777" w:rsidR="007E610C" w:rsidRPr="00A6301B" w:rsidRDefault="007E610C" w:rsidP="00887E34"/>
          <w:p w14:paraId="34033967" w14:textId="77777777" w:rsidR="003937D1" w:rsidRPr="00A6301B" w:rsidRDefault="007E610C" w:rsidP="00887E34">
            <w:r w:rsidRPr="00A6301B">
              <w:t>E</w:t>
            </w:r>
            <w:r w:rsidRPr="00A6301B">
              <w:tab/>
            </w:r>
            <w:r w:rsidRPr="00940077">
              <w:t>Reserves and Balances</w:t>
            </w:r>
          </w:p>
          <w:p w14:paraId="7ABE061F" w14:textId="77777777" w:rsidR="007E610C" w:rsidRPr="00A6301B" w:rsidRDefault="007E610C" w:rsidP="00887E34"/>
          <w:p w14:paraId="66FDCE11" w14:textId="029E5BF0" w:rsidR="007E610C" w:rsidRPr="00A6301B" w:rsidRDefault="007E610C" w:rsidP="00887E34">
            <w:pPr>
              <w:ind w:left="720" w:hanging="720"/>
            </w:pPr>
            <w:r w:rsidRPr="00A6301B">
              <w:t>F</w:t>
            </w:r>
            <w:r w:rsidRPr="00A6301B">
              <w:tab/>
              <w:t xml:space="preserve">Medium Term Financial Forecast </w:t>
            </w:r>
            <w:r w:rsidR="0004374B">
              <w:t>202</w:t>
            </w:r>
            <w:r w:rsidR="004534F6">
              <w:t>4/25</w:t>
            </w:r>
            <w:r w:rsidR="003863F7">
              <w:t xml:space="preserve"> </w:t>
            </w:r>
            <w:r w:rsidR="003863F7" w:rsidRPr="00940077">
              <w:t xml:space="preserve">to </w:t>
            </w:r>
            <w:r w:rsidR="00B34540">
              <w:t>202</w:t>
            </w:r>
            <w:r w:rsidR="004534F6">
              <w:t>8/29</w:t>
            </w:r>
          </w:p>
          <w:p w14:paraId="31D7574A" w14:textId="77777777" w:rsidR="007E610C" w:rsidRPr="00A6301B" w:rsidRDefault="007E610C" w:rsidP="00887E34"/>
          <w:p w14:paraId="2D3C880D" w14:textId="77777777" w:rsidR="007E610C" w:rsidRPr="00A6301B" w:rsidRDefault="007E610C" w:rsidP="00887E34">
            <w:pPr>
              <w:ind w:left="720" w:hanging="720"/>
            </w:pPr>
            <w:r w:rsidRPr="00A6301B">
              <w:t>G</w:t>
            </w:r>
            <w:r w:rsidRPr="00A6301B">
              <w:tab/>
              <w:t>Protocol for Earmarked Reserves</w:t>
            </w:r>
          </w:p>
          <w:p w14:paraId="063C3038" w14:textId="77777777" w:rsidR="007E610C" w:rsidRPr="00A6301B" w:rsidRDefault="007E610C" w:rsidP="00887E34">
            <w:pPr>
              <w:ind w:left="720" w:hanging="720"/>
            </w:pPr>
          </w:p>
          <w:p w14:paraId="4E12917C" w14:textId="77777777" w:rsidR="007E610C" w:rsidRDefault="007E610C" w:rsidP="00887E34">
            <w:pPr>
              <w:ind w:left="720" w:hanging="720"/>
            </w:pPr>
            <w:r w:rsidRPr="00A6301B">
              <w:t>H</w:t>
            </w:r>
            <w:r w:rsidRPr="00A6301B">
              <w:tab/>
            </w:r>
            <w:r w:rsidR="00A00564">
              <w:t>Budget Survey</w:t>
            </w:r>
            <w:r w:rsidR="007C18E7">
              <w:t xml:space="preserve"> Results</w:t>
            </w:r>
          </w:p>
          <w:p w14:paraId="2E73155B" w14:textId="77777777" w:rsidR="00C14911" w:rsidRDefault="00C14911" w:rsidP="00887E34">
            <w:pPr>
              <w:ind w:left="720" w:hanging="720"/>
            </w:pPr>
          </w:p>
          <w:p w14:paraId="39642447" w14:textId="77777777" w:rsidR="007E610C" w:rsidRPr="00A6301B" w:rsidRDefault="007E610C" w:rsidP="00887E34"/>
          <w:p w14:paraId="51D096A7" w14:textId="41765834" w:rsidR="007E610C" w:rsidRDefault="00BA4B40" w:rsidP="00887E34">
            <w:r>
              <w:br/>
            </w:r>
            <w:r>
              <w:br/>
            </w:r>
          </w:p>
          <w:p w14:paraId="4A305CDC" w14:textId="77777777" w:rsidR="00D35AC6" w:rsidRDefault="00D35AC6" w:rsidP="00887E34"/>
          <w:p w14:paraId="3C6735BE" w14:textId="77777777" w:rsidR="007E610C" w:rsidRPr="00935369" w:rsidRDefault="007E610C" w:rsidP="00887E34">
            <w:pPr>
              <w:ind w:left="720" w:hanging="720"/>
            </w:pPr>
            <w:r w:rsidRPr="00935369">
              <w:tab/>
            </w:r>
          </w:p>
        </w:tc>
      </w:tr>
      <w:tr w:rsidR="007E610C" w:rsidRPr="007E610C" w14:paraId="574542B6" w14:textId="77777777" w:rsidTr="00412735">
        <w:trPr>
          <w:trHeight w:val="5520"/>
        </w:trPr>
        <w:tc>
          <w:tcPr>
            <w:tcW w:w="9856" w:type="dxa"/>
            <w:gridSpan w:val="2"/>
          </w:tcPr>
          <w:p w14:paraId="478BBFAE" w14:textId="77777777" w:rsidR="007E610C" w:rsidRPr="007E610C" w:rsidRDefault="007E610C" w:rsidP="00887E34">
            <w:pPr>
              <w:rPr>
                <w:b/>
              </w:rPr>
            </w:pPr>
          </w:p>
        </w:tc>
      </w:tr>
    </w:tbl>
    <w:p w14:paraId="171D2B6B" w14:textId="77777777" w:rsidR="00730137" w:rsidRDefault="00730137" w:rsidP="00887E34">
      <w:pPr>
        <w:rPr>
          <w:b/>
          <w:sz w:val="22"/>
          <w:szCs w:val="22"/>
        </w:rPr>
      </w:pPr>
    </w:p>
    <w:p w14:paraId="55175F8B" w14:textId="77777777" w:rsidR="00730137" w:rsidRPr="00730137" w:rsidRDefault="007E610C" w:rsidP="00887E34">
      <w:pPr>
        <w:rPr>
          <w:b/>
          <w:sz w:val="22"/>
          <w:szCs w:val="22"/>
        </w:rPr>
      </w:pPr>
      <w:r>
        <w:rPr>
          <w:b/>
          <w:sz w:val="22"/>
          <w:szCs w:val="22"/>
        </w:rPr>
        <w:br w:type="page"/>
      </w:r>
    </w:p>
    <w:p w14:paraId="7CB92FC2" w14:textId="77777777" w:rsidR="00730137" w:rsidRPr="006F491E" w:rsidRDefault="00E7750C" w:rsidP="00887E34">
      <w:pPr>
        <w:rPr>
          <w:b/>
        </w:rPr>
      </w:pPr>
      <w:r>
        <w:rPr>
          <w:b/>
        </w:rPr>
        <w:lastRenderedPageBreak/>
        <w:t>1.</w:t>
      </w:r>
      <w:r>
        <w:rPr>
          <w:b/>
        </w:rPr>
        <w:tab/>
      </w:r>
      <w:r w:rsidR="00730137" w:rsidRPr="006F491E">
        <w:rPr>
          <w:b/>
        </w:rPr>
        <w:t>PURPOSE OF THE REPORT</w:t>
      </w:r>
    </w:p>
    <w:p w14:paraId="676A24A1" w14:textId="77777777" w:rsidR="00730137" w:rsidRPr="00134B36" w:rsidRDefault="00730137" w:rsidP="00887E34">
      <w:pPr>
        <w:rPr>
          <w:sz w:val="18"/>
        </w:rPr>
      </w:pPr>
    </w:p>
    <w:p w14:paraId="6E0C17C4" w14:textId="476065B4" w:rsidR="00730137" w:rsidRPr="006F491E" w:rsidRDefault="00730137" w:rsidP="00887E34">
      <w:pPr>
        <w:pStyle w:val="BodyTextIndent"/>
        <w:jc w:val="left"/>
        <w:rPr>
          <w:rFonts w:ascii="Arial" w:hAnsi="Arial" w:cs="Arial"/>
        </w:rPr>
      </w:pPr>
      <w:r w:rsidRPr="006F491E">
        <w:rPr>
          <w:rFonts w:ascii="Arial" w:hAnsi="Arial" w:cs="Arial"/>
        </w:rPr>
        <w:t>1.</w:t>
      </w:r>
      <w:r w:rsidR="00E7750C">
        <w:rPr>
          <w:rFonts w:ascii="Arial" w:hAnsi="Arial" w:cs="Arial"/>
        </w:rPr>
        <w:t>1</w:t>
      </w:r>
      <w:r w:rsidRPr="006F491E">
        <w:rPr>
          <w:rFonts w:ascii="Arial" w:hAnsi="Arial" w:cs="Arial"/>
        </w:rPr>
        <w:tab/>
        <w:t xml:space="preserve">To provide the relevant information to allow the </w:t>
      </w:r>
      <w:r w:rsidR="001754E4">
        <w:rPr>
          <w:rFonts w:ascii="Arial" w:hAnsi="Arial" w:cs="Arial"/>
        </w:rPr>
        <w:t>Mayor</w:t>
      </w:r>
      <w:r>
        <w:rPr>
          <w:rFonts w:ascii="Arial" w:hAnsi="Arial" w:cs="Arial"/>
        </w:rPr>
        <w:t xml:space="preserve"> </w:t>
      </w:r>
      <w:r w:rsidRPr="006F491E">
        <w:rPr>
          <w:rFonts w:ascii="Arial" w:hAnsi="Arial" w:cs="Arial"/>
        </w:rPr>
        <w:t>to approve the revenue budg</w:t>
      </w:r>
      <w:r>
        <w:rPr>
          <w:rFonts w:ascii="Arial" w:hAnsi="Arial" w:cs="Arial"/>
        </w:rPr>
        <w:t xml:space="preserve">et, capital budget, precept and </w:t>
      </w:r>
      <w:r w:rsidRPr="006F491E">
        <w:rPr>
          <w:rFonts w:ascii="Arial" w:hAnsi="Arial" w:cs="Arial"/>
        </w:rPr>
        <w:t xml:space="preserve">council tax for </w:t>
      </w:r>
      <w:r w:rsidR="00B34540">
        <w:rPr>
          <w:rFonts w:ascii="Arial" w:hAnsi="Arial" w:cs="Arial"/>
        </w:rPr>
        <w:t>202</w:t>
      </w:r>
      <w:r w:rsidR="004534F6">
        <w:rPr>
          <w:rFonts w:ascii="Arial" w:hAnsi="Arial" w:cs="Arial"/>
        </w:rPr>
        <w:t>5/26</w:t>
      </w:r>
      <w:r w:rsidRPr="006F491E">
        <w:rPr>
          <w:rFonts w:ascii="Arial" w:hAnsi="Arial" w:cs="Arial"/>
        </w:rPr>
        <w:t>.</w:t>
      </w:r>
    </w:p>
    <w:p w14:paraId="60F8ADE4" w14:textId="77777777" w:rsidR="00730137" w:rsidRPr="00134B36" w:rsidRDefault="00730137" w:rsidP="00887E34">
      <w:pPr>
        <w:pStyle w:val="PlainText"/>
        <w:ind w:firstLine="720"/>
        <w:rPr>
          <w:rFonts w:ascii="Arial" w:hAnsi="Arial"/>
          <w:sz w:val="18"/>
        </w:rPr>
      </w:pPr>
    </w:p>
    <w:p w14:paraId="3F33EF0D" w14:textId="77777777" w:rsidR="00730137" w:rsidRPr="006F491E" w:rsidRDefault="00E7750C" w:rsidP="00887E34">
      <w:pPr>
        <w:pStyle w:val="BodyText"/>
        <w:jc w:val="left"/>
        <w:rPr>
          <w:rFonts w:ascii="Arial" w:hAnsi="Arial"/>
          <w:b/>
        </w:rPr>
      </w:pPr>
      <w:r>
        <w:rPr>
          <w:rFonts w:ascii="Arial" w:hAnsi="Arial"/>
          <w:b/>
        </w:rPr>
        <w:t>2.</w:t>
      </w:r>
      <w:r>
        <w:rPr>
          <w:rFonts w:ascii="Arial" w:hAnsi="Arial"/>
          <w:b/>
        </w:rPr>
        <w:tab/>
      </w:r>
      <w:r w:rsidR="00730137" w:rsidRPr="006F491E">
        <w:rPr>
          <w:rFonts w:ascii="Arial" w:hAnsi="Arial"/>
          <w:b/>
        </w:rPr>
        <w:t>RECOMMENDATIONS</w:t>
      </w:r>
    </w:p>
    <w:p w14:paraId="46669CCA" w14:textId="77777777" w:rsidR="00730137" w:rsidRPr="00134B36" w:rsidRDefault="00730137" w:rsidP="00887E34">
      <w:pPr>
        <w:ind w:left="720" w:hanging="720"/>
        <w:rPr>
          <w:sz w:val="18"/>
        </w:rPr>
      </w:pPr>
    </w:p>
    <w:p w14:paraId="6999CDC4" w14:textId="77777777" w:rsidR="00730137" w:rsidRPr="006F491E" w:rsidRDefault="00730137" w:rsidP="00887E34">
      <w:pPr>
        <w:ind w:left="720" w:hanging="720"/>
      </w:pPr>
      <w:r w:rsidRPr="006F491E">
        <w:t>2.</w:t>
      </w:r>
      <w:r w:rsidR="00E7750C">
        <w:t>1</w:t>
      </w:r>
      <w:r w:rsidRPr="006F491E">
        <w:tab/>
        <w:t>It is recommended that:</w:t>
      </w:r>
    </w:p>
    <w:p w14:paraId="4C77D6FB" w14:textId="77777777" w:rsidR="00730137" w:rsidRPr="00134B36" w:rsidRDefault="00730137" w:rsidP="00887E34">
      <w:pPr>
        <w:ind w:left="720" w:hanging="720"/>
        <w:rPr>
          <w:sz w:val="18"/>
        </w:rPr>
      </w:pPr>
    </w:p>
    <w:p w14:paraId="2C7F41E9" w14:textId="77777777" w:rsidR="00730137" w:rsidRPr="006F491E" w:rsidRDefault="00730137" w:rsidP="00887E34">
      <w:pPr>
        <w:spacing w:line="360" w:lineRule="auto"/>
        <w:ind w:left="720" w:hanging="720"/>
      </w:pPr>
      <w:r w:rsidRPr="006F491E">
        <w:t>.</w:t>
      </w:r>
      <w:r w:rsidRPr="006F491E">
        <w:tab/>
      </w:r>
      <w:r w:rsidRPr="006F491E">
        <w:rPr>
          <w:b/>
        </w:rPr>
        <w:t>Revenue</w:t>
      </w:r>
    </w:p>
    <w:p w14:paraId="2910629C" w14:textId="70323D11" w:rsidR="00730137" w:rsidRDefault="00730137" w:rsidP="00887E34">
      <w:pPr>
        <w:ind w:left="1440" w:hanging="720"/>
      </w:pPr>
      <w:proofErr w:type="spellStart"/>
      <w:r>
        <w:t>i</w:t>
      </w:r>
      <w:proofErr w:type="spellEnd"/>
      <w:r>
        <w:t>)</w:t>
      </w:r>
      <w:r>
        <w:tab/>
        <w:t>The proposed budge</w:t>
      </w:r>
      <w:r w:rsidR="00461CA2">
        <w:t xml:space="preserve">t for </w:t>
      </w:r>
      <w:r>
        <w:t xml:space="preserve">the </w:t>
      </w:r>
      <w:r w:rsidR="005C6B86">
        <w:t>Mayor’s Police and Crime team</w:t>
      </w:r>
      <w:r w:rsidR="006B11D2">
        <w:t xml:space="preserve"> for </w:t>
      </w:r>
      <w:r w:rsidR="00B34540">
        <w:t>202</w:t>
      </w:r>
      <w:r w:rsidR="00A868E2">
        <w:t>5/26</w:t>
      </w:r>
      <w:r w:rsidR="009E52CA">
        <w:t xml:space="preserve">, </w:t>
      </w:r>
      <w:r>
        <w:t>as set out in Appendix A, be approved.</w:t>
      </w:r>
    </w:p>
    <w:p w14:paraId="74A3C1C7" w14:textId="77777777" w:rsidR="00730137" w:rsidRPr="00134B36" w:rsidRDefault="00730137" w:rsidP="00887E34">
      <w:pPr>
        <w:ind w:left="1440" w:hanging="720"/>
        <w:rPr>
          <w:sz w:val="18"/>
        </w:rPr>
      </w:pPr>
    </w:p>
    <w:p w14:paraId="494DD798" w14:textId="42EF8AC3" w:rsidR="00730137" w:rsidRPr="006F491E" w:rsidRDefault="00730137" w:rsidP="00887E34">
      <w:pPr>
        <w:pStyle w:val="BodyTextIndent"/>
        <w:ind w:left="1440" w:hanging="731"/>
        <w:jc w:val="left"/>
        <w:rPr>
          <w:rFonts w:ascii="Arial" w:hAnsi="Arial"/>
        </w:rPr>
      </w:pPr>
      <w:r>
        <w:rPr>
          <w:rFonts w:ascii="Arial" w:hAnsi="Arial"/>
        </w:rPr>
        <w:t>ii)</w:t>
      </w:r>
      <w:r>
        <w:rPr>
          <w:rFonts w:ascii="Arial" w:hAnsi="Arial"/>
        </w:rPr>
        <w:tab/>
        <w:t>T</w:t>
      </w:r>
      <w:r w:rsidRPr="006F491E">
        <w:rPr>
          <w:rFonts w:ascii="Arial" w:hAnsi="Arial"/>
        </w:rPr>
        <w:t xml:space="preserve">he proposed budget for </w:t>
      </w:r>
      <w:r>
        <w:rPr>
          <w:rFonts w:ascii="Arial" w:hAnsi="Arial"/>
        </w:rPr>
        <w:t xml:space="preserve">force requirements </w:t>
      </w:r>
      <w:r w:rsidRPr="006F491E">
        <w:rPr>
          <w:rFonts w:ascii="Arial" w:hAnsi="Arial"/>
        </w:rPr>
        <w:t>and the Chief Constable’s proposed allocation of resources</w:t>
      </w:r>
      <w:r w:rsidR="006B11D2">
        <w:rPr>
          <w:rFonts w:ascii="Arial" w:hAnsi="Arial"/>
        </w:rPr>
        <w:t xml:space="preserve"> for</w:t>
      </w:r>
      <w:r w:rsidR="00B34540">
        <w:rPr>
          <w:rFonts w:ascii="Arial" w:hAnsi="Arial"/>
        </w:rPr>
        <w:t xml:space="preserve"> 202</w:t>
      </w:r>
      <w:r w:rsidR="00A868E2">
        <w:rPr>
          <w:rFonts w:ascii="Arial" w:hAnsi="Arial"/>
        </w:rPr>
        <w:t>5/26</w:t>
      </w:r>
      <w:r w:rsidR="00940077">
        <w:rPr>
          <w:rFonts w:ascii="Arial" w:hAnsi="Arial"/>
        </w:rPr>
        <w:t xml:space="preserve"> as</w:t>
      </w:r>
      <w:r w:rsidRPr="006F491E">
        <w:rPr>
          <w:rFonts w:ascii="Arial" w:hAnsi="Arial"/>
        </w:rPr>
        <w:t xml:space="preserve"> set out in </w:t>
      </w:r>
      <w:r w:rsidR="00703DA9">
        <w:rPr>
          <w:rFonts w:ascii="Arial" w:hAnsi="Arial"/>
        </w:rPr>
        <w:t xml:space="preserve">the Medium Term Financial Forecast at </w:t>
      </w:r>
      <w:r w:rsidRPr="006F491E">
        <w:rPr>
          <w:rFonts w:ascii="Arial" w:hAnsi="Arial"/>
        </w:rPr>
        <w:t>Appendix F, be approved.</w:t>
      </w:r>
    </w:p>
    <w:p w14:paraId="4A54B610" w14:textId="77777777" w:rsidR="00730137" w:rsidRPr="00134B36" w:rsidRDefault="00730137" w:rsidP="00887E34">
      <w:pPr>
        <w:ind w:left="1440" w:hanging="720"/>
        <w:rPr>
          <w:sz w:val="18"/>
        </w:rPr>
      </w:pPr>
    </w:p>
    <w:p w14:paraId="2ED96778" w14:textId="0C1C8533" w:rsidR="00730137" w:rsidRPr="007432F3" w:rsidRDefault="00730137" w:rsidP="00887E34">
      <w:pPr>
        <w:numPr>
          <w:ilvl w:val="0"/>
          <w:numId w:val="4"/>
        </w:numPr>
      </w:pPr>
      <w:r w:rsidRPr="0085092C">
        <w:t xml:space="preserve">The County’s taxbase for the </w:t>
      </w:r>
      <w:r w:rsidRPr="007432F3">
        <w:t xml:space="preserve">year </w:t>
      </w:r>
      <w:r w:rsidR="00B34540" w:rsidRPr="007432F3">
        <w:t>202</w:t>
      </w:r>
      <w:r w:rsidR="00A868E2" w:rsidRPr="007432F3">
        <w:t>5/26</w:t>
      </w:r>
      <w:r w:rsidRPr="007432F3">
        <w:t>, as calculated and notified by the five District Councils, be noted at</w:t>
      </w:r>
      <w:r w:rsidR="00AB592D" w:rsidRPr="007432F3">
        <w:t xml:space="preserve"> </w:t>
      </w:r>
      <w:r w:rsidR="0085092C" w:rsidRPr="007432F3">
        <w:t>6</w:t>
      </w:r>
      <w:r w:rsidR="007432F3" w:rsidRPr="007432F3">
        <w:t>93,382</w:t>
      </w:r>
    </w:p>
    <w:p w14:paraId="65633065" w14:textId="77777777" w:rsidR="00730137" w:rsidRPr="007432F3" w:rsidRDefault="00730137" w:rsidP="00887E34">
      <w:pPr>
        <w:rPr>
          <w:sz w:val="18"/>
        </w:rPr>
      </w:pPr>
    </w:p>
    <w:p w14:paraId="29448FAC" w14:textId="5745573C" w:rsidR="00730137" w:rsidRPr="007432F3" w:rsidRDefault="00730137" w:rsidP="00887E34">
      <w:pPr>
        <w:numPr>
          <w:ilvl w:val="0"/>
          <w:numId w:val="4"/>
        </w:numPr>
      </w:pPr>
      <w:r w:rsidRPr="007432F3">
        <w:t>The</w:t>
      </w:r>
      <w:r w:rsidR="006B11D2" w:rsidRPr="007432F3">
        <w:t xml:space="preserve"> </w:t>
      </w:r>
      <w:r w:rsidR="005C6B86" w:rsidRPr="007432F3">
        <w:t>Mayor</w:t>
      </w:r>
      <w:r w:rsidRPr="007432F3">
        <w:t xml:space="preserve"> agrees the statutor</w:t>
      </w:r>
      <w:r w:rsidR="006B11D2" w:rsidRPr="007432F3">
        <w:t xml:space="preserve">y calculations for the year </w:t>
      </w:r>
      <w:r w:rsidR="00B34540" w:rsidRPr="007432F3">
        <w:t>202</w:t>
      </w:r>
      <w:r w:rsidR="00A868E2" w:rsidRPr="007432F3">
        <w:t>5/26</w:t>
      </w:r>
      <w:r w:rsidRPr="007432F3">
        <w:t>, as required by the Localism Act, 2011, as follows:</w:t>
      </w:r>
    </w:p>
    <w:p w14:paraId="4648926D" w14:textId="77777777" w:rsidR="00730137" w:rsidRPr="007432F3" w:rsidRDefault="00730137" w:rsidP="00887E34">
      <w:pPr>
        <w:rPr>
          <w:sz w:val="18"/>
        </w:rPr>
      </w:pPr>
    </w:p>
    <w:p w14:paraId="69262A60" w14:textId="77777777" w:rsidR="00730137" w:rsidRPr="007432F3" w:rsidRDefault="00730137" w:rsidP="00887E34">
      <w:pPr>
        <w:ind w:left="1440" w:hanging="720"/>
        <w:rPr>
          <w:sz w:val="18"/>
        </w:rPr>
      </w:pPr>
      <w:r w:rsidRPr="007432F3">
        <w:rPr>
          <w:color w:val="0000FF"/>
        </w:rPr>
        <w:tab/>
      </w:r>
    </w:p>
    <w:tbl>
      <w:tblPr>
        <w:tblW w:w="8900" w:type="dxa"/>
        <w:tblInd w:w="808"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000" w:firstRow="0" w:lastRow="0" w:firstColumn="0" w:lastColumn="0" w:noHBand="0" w:noVBand="0"/>
      </w:tblPr>
      <w:tblGrid>
        <w:gridCol w:w="800"/>
        <w:gridCol w:w="5300"/>
        <w:gridCol w:w="2800"/>
      </w:tblGrid>
      <w:tr w:rsidR="00730137" w:rsidRPr="007432F3" w14:paraId="731EC522" w14:textId="77777777" w:rsidTr="00F63D08">
        <w:tc>
          <w:tcPr>
            <w:tcW w:w="800" w:type="dxa"/>
          </w:tcPr>
          <w:p w14:paraId="7834895A" w14:textId="77777777" w:rsidR="00730137" w:rsidRPr="007432F3" w:rsidRDefault="00730137" w:rsidP="00887E34"/>
        </w:tc>
        <w:tc>
          <w:tcPr>
            <w:tcW w:w="5300" w:type="dxa"/>
          </w:tcPr>
          <w:p w14:paraId="128631CB" w14:textId="77777777" w:rsidR="00730137" w:rsidRPr="007432F3" w:rsidRDefault="00730137" w:rsidP="00887E34">
            <w:pPr>
              <w:rPr>
                <w:b/>
              </w:rPr>
            </w:pPr>
          </w:p>
          <w:p w14:paraId="4130E208" w14:textId="77777777" w:rsidR="00730137" w:rsidRPr="007432F3" w:rsidRDefault="00730137" w:rsidP="00887E34">
            <w:pPr>
              <w:rPr>
                <w:b/>
              </w:rPr>
            </w:pPr>
          </w:p>
          <w:p w14:paraId="0B5C29F9" w14:textId="79CA2D78" w:rsidR="00730137" w:rsidRPr="007432F3" w:rsidRDefault="00BA4B40" w:rsidP="00887E34">
            <w:pPr>
              <w:rPr>
                <w:b/>
              </w:rPr>
            </w:pPr>
            <w:r w:rsidRPr="007432F3">
              <w:rPr>
                <w:b/>
              </w:rPr>
              <w:t>20</w:t>
            </w:r>
            <w:r w:rsidR="00B34540" w:rsidRPr="007432F3">
              <w:rPr>
                <w:b/>
              </w:rPr>
              <w:t>2</w:t>
            </w:r>
            <w:r w:rsidR="00A868E2" w:rsidRPr="007432F3">
              <w:rPr>
                <w:b/>
              </w:rPr>
              <w:t>5/26</w:t>
            </w:r>
          </w:p>
        </w:tc>
        <w:tc>
          <w:tcPr>
            <w:tcW w:w="2800" w:type="dxa"/>
          </w:tcPr>
          <w:p w14:paraId="69C2D97F" w14:textId="77777777" w:rsidR="00730137" w:rsidRPr="007432F3" w:rsidRDefault="00730137" w:rsidP="00887E34">
            <w:pPr>
              <w:rPr>
                <w:b/>
              </w:rPr>
            </w:pPr>
            <w:r w:rsidRPr="007432F3">
              <w:rPr>
                <w:b/>
              </w:rPr>
              <w:t>£</w:t>
            </w:r>
          </w:p>
        </w:tc>
      </w:tr>
      <w:tr w:rsidR="00730137" w:rsidRPr="007432F3" w14:paraId="06861AA9" w14:textId="77777777" w:rsidTr="00F63D08">
        <w:tc>
          <w:tcPr>
            <w:tcW w:w="800" w:type="dxa"/>
          </w:tcPr>
          <w:p w14:paraId="7E7DAE0C" w14:textId="77777777" w:rsidR="00730137" w:rsidRPr="007432F3" w:rsidRDefault="00730137" w:rsidP="00887E34">
            <w:r w:rsidRPr="007432F3">
              <w:t>a)</w:t>
            </w:r>
          </w:p>
        </w:tc>
        <w:tc>
          <w:tcPr>
            <w:tcW w:w="5300" w:type="dxa"/>
          </w:tcPr>
          <w:p w14:paraId="368AF693" w14:textId="12101FFC" w:rsidR="00730137" w:rsidRPr="007432F3" w:rsidRDefault="00730137" w:rsidP="00887E34">
            <w:r w:rsidRPr="007432F3">
              <w:t xml:space="preserve">The </w:t>
            </w:r>
            <w:r w:rsidR="00A11780" w:rsidRPr="007432F3">
              <w:t>Mayor</w:t>
            </w:r>
            <w:r w:rsidRPr="007432F3">
              <w:t>’s council tax requirement for the year.</w:t>
            </w:r>
          </w:p>
          <w:p w14:paraId="0C2234C1" w14:textId="77777777" w:rsidR="00730137" w:rsidRPr="007432F3" w:rsidRDefault="00730137" w:rsidP="00887E34">
            <w:r w:rsidRPr="007432F3">
              <w:t>The aggregate of the amounts which the authority estimates for the items set out in section 42B of the Local Government Finance Act 1992 (as amended by section 75 of the Localism Act 2011) (gross expenditure less gross income)</w:t>
            </w:r>
          </w:p>
        </w:tc>
        <w:tc>
          <w:tcPr>
            <w:tcW w:w="2800" w:type="dxa"/>
          </w:tcPr>
          <w:p w14:paraId="174E914E" w14:textId="77777777" w:rsidR="00730137" w:rsidRPr="007432F3" w:rsidRDefault="00730137" w:rsidP="00887E34"/>
          <w:p w14:paraId="3C2911DC" w14:textId="77777777" w:rsidR="00730137" w:rsidRPr="007432F3" w:rsidRDefault="00730137" w:rsidP="00887E34"/>
          <w:p w14:paraId="0E9F0B6D" w14:textId="40FDBA18" w:rsidR="00730137" w:rsidRPr="007432F3" w:rsidRDefault="00987579" w:rsidP="00887E34">
            <w:r w:rsidRPr="007432F3">
              <w:rPr>
                <w:sz w:val="22"/>
                <w:szCs w:val="22"/>
              </w:rPr>
              <w:t>1</w:t>
            </w:r>
            <w:r w:rsidR="004E57EB" w:rsidRPr="007432F3">
              <w:rPr>
                <w:sz w:val="22"/>
                <w:szCs w:val="22"/>
              </w:rPr>
              <w:t>82</w:t>
            </w:r>
            <w:r w:rsidR="00EB36FD" w:rsidRPr="007432F3">
              <w:rPr>
                <w:sz w:val="22"/>
                <w:szCs w:val="22"/>
              </w:rPr>
              <w:t>,552,</w:t>
            </w:r>
            <w:r w:rsidR="00DC23DD">
              <w:rPr>
                <w:sz w:val="22"/>
                <w:szCs w:val="22"/>
              </w:rPr>
              <w:t>185</w:t>
            </w:r>
          </w:p>
        </w:tc>
      </w:tr>
      <w:tr w:rsidR="00730137" w:rsidRPr="006F491E" w14:paraId="47726868" w14:textId="77777777" w:rsidTr="00F63D08">
        <w:tc>
          <w:tcPr>
            <w:tcW w:w="800" w:type="dxa"/>
          </w:tcPr>
          <w:p w14:paraId="61B97280" w14:textId="77777777" w:rsidR="00730137" w:rsidRPr="007432F3" w:rsidRDefault="00730137" w:rsidP="00887E34">
            <w:r w:rsidRPr="007432F3">
              <w:t>b)</w:t>
            </w:r>
          </w:p>
        </w:tc>
        <w:tc>
          <w:tcPr>
            <w:tcW w:w="5300" w:type="dxa"/>
          </w:tcPr>
          <w:p w14:paraId="226A7FAE" w14:textId="77777777" w:rsidR="00730137" w:rsidRPr="007432F3" w:rsidRDefault="00730137" w:rsidP="00887E34">
            <w:r w:rsidRPr="007432F3">
              <w:t>The basic amount of council tax for the year - council tax requirement divided by the taxbase.</w:t>
            </w:r>
          </w:p>
          <w:p w14:paraId="6AB0EE41" w14:textId="77777777" w:rsidR="00730137" w:rsidRPr="007432F3" w:rsidRDefault="00730137" w:rsidP="00887E34">
            <w:r w:rsidRPr="007432F3">
              <w:t>Calculated in accordance with the formula set out in section 42B of the Local government Finance Act 1992 (as amended by section 75 of the Localism Act 2011)</w:t>
            </w:r>
          </w:p>
        </w:tc>
        <w:tc>
          <w:tcPr>
            <w:tcW w:w="2800" w:type="dxa"/>
          </w:tcPr>
          <w:p w14:paraId="20B12EB9" w14:textId="77777777" w:rsidR="00730137" w:rsidRPr="007432F3" w:rsidRDefault="00730137" w:rsidP="00887E34"/>
          <w:p w14:paraId="485A3364" w14:textId="36014560" w:rsidR="00730137" w:rsidRPr="0063460D" w:rsidRDefault="00B34540" w:rsidP="00887E34">
            <w:r w:rsidRPr="007432F3">
              <w:t>2</w:t>
            </w:r>
            <w:r w:rsidR="00EB36FD" w:rsidRPr="007432F3">
              <w:t>63.28</w:t>
            </w:r>
          </w:p>
        </w:tc>
      </w:tr>
    </w:tbl>
    <w:p w14:paraId="0B1C38E6" w14:textId="77777777" w:rsidR="00730137" w:rsidRDefault="00730137" w:rsidP="00887E34">
      <w:pPr>
        <w:ind w:left="1418" w:hanging="720"/>
      </w:pPr>
    </w:p>
    <w:p w14:paraId="54BF7E3C" w14:textId="29D0E94A" w:rsidR="00730137" w:rsidRDefault="00730137" w:rsidP="00170C69">
      <w:pPr>
        <w:pStyle w:val="ListParagraph"/>
        <w:numPr>
          <w:ilvl w:val="0"/>
          <w:numId w:val="4"/>
        </w:numPr>
      </w:pPr>
      <w:r w:rsidRPr="00E37F8A">
        <w:t xml:space="preserve">The </w:t>
      </w:r>
      <w:r w:rsidR="00A11780">
        <w:t>Mayor</w:t>
      </w:r>
      <w:r w:rsidRPr="00E37F8A">
        <w:t>, in accordance with section 40(2) of the Local Government Finance Act 1992 (as amended by schedu</w:t>
      </w:r>
      <w:r>
        <w:t>le 7 of the Localism Act, 2011)</w:t>
      </w:r>
      <w:r w:rsidRPr="00E37F8A">
        <w:t xml:space="preserve">, sets the following amounts of council tax for the year </w:t>
      </w:r>
      <w:r w:rsidR="00E76865">
        <w:t>202</w:t>
      </w:r>
      <w:r w:rsidR="0041799A">
        <w:t>5/26</w:t>
      </w:r>
      <w:r w:rsidR="00BA4B40">
        <w:t xml:space="preserve"> </w:t>
      </w:r>
      <w:r w:rsidRPr="00E37F8A">
        <w:t>for the valuation bands shown below:</w:t>
      </w:r>
    </w:p>
    <w:p w14:paraId="0F0E11E3" w14:textId="77777777" w:rsidR="00170C69" w:rsidRDefault="00170C69" w:rsidP="00170C69"/>
    <w:p w14:paraId="4D73B3E9" w14:textId="77777777" w:rsidR="00170C69" w:rsidRDefault="00170C69" w:rsidP="00170C69"/>
    <w:p w14:paraId="5A8A65FA" w14:textId="77777777" w:rsidR="00170C69" w:rsidRPr="00E37F8A" w:rsidRDefault="00170C69" w:rsidP="00170C69"/>
    <w:p w14:paraId="515AA3DB" w14:textId="77777777" w:rsidR="00730137" w:rsidRPr="00E37F8A" w:rsidRDefault="00730137" w:rsidP="00887E34">
      <w:pPr>
        <w:ind w:left="1418" w:hanging="720"/>
      </w:pPr>
    </w:p>
    <w:tbl>
      <w:tblPr>
        <w:tblW w:w="0" w:type="auto"/>
        <w:tblInd w:w="1608"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000" w:firstRow="0" w:lastRow="0" w:firstColumn="0" w:lastColumn="0" w:noHBand="0" w:noVBand="0"/>
      </w:tblPr>
      <w:tblGrid>
        <w:gridCol w:w="1500"/>
        <w:gridCol w:w="3800"/>
      </w:tblGrid>
      <w:tr w:rsidR="00730137" w:rsidRPr="0041799A" w14:paraId="74C16965" w14:textId="77777777" w:rsidTr="00F63D08">
        <w:tc>
          <w:tcPr>
            <w:tcW w:w="1500" w:type="dxa"/>
          </w:tcPr>
          <w:p w14:paraId="1D4CDD28" w14:textId="77777777" w:rsidR="00730137" w:rsidRPr="00DC23DD" w:rsidRDefault="00730137" w:rsidP="00887E34">
            <w:pPr>
              <w:pStyle w:val="Heading3"/>
              <w:rPr>
                <w:b/>
              </w:rPr>
            </w:pPr>
            <w:r w:rsidRPr="00DC23DD">
              <w:rPr>
                <w:b/>
              </w:rPr>
              <w:lastRenderedPageBreak/>
              <w:t>Valuation Band</w:t>
            </w:r>
          </w:p>
        </w:tc>
        <w:tc>
          <w:tcPr>
            <w:tcW w:w="3800" w:type="dxa"/>
          </w:tcPr>
          <w:p w14:paraId="28CCFDC8" w14:textId="77777777" w:rsidR="00730137" w:rsidRPr="00DC23DD" w:rsidRDefault="00730137" w:rsidP="00887E34"/>
          <w:p w14:paraId="5B30A89D" w14:textId="77777777" w:rsidR="00730137" w:rsidRPr="00DC23DD" w:rsidRDefault="00730137" w:rsidP="00887E34">
            <w:pPr>
              <w:rPr>
                <w:b/>
              </w:rPr>
            </w:pPr>
            <w:r w:rsidRPr="00DC23DD">
              <w:rPr>
                <w:b/>
              </w:rPr>
              <w:t>(£)</w:t>
            </w:r>
          </w:p>
        </w:tc>
      </w:tr>
      <w:tr w:rsidR="00A11780" w:rsidRPr="0041799A" w14:paraId="3F9C5944" w14:textId="77777777" w:rsidTr="003928D8">
        <w:trPr>
          <w:trHeight w:val="332"/>
        </w:trPr>
        <w:tc>
          <w:tcPr>
            <w:tcW w:w="1500" w:type="dxa"/>
            <w:vAlign w:val="center"/>
          </w:tcPr>
          <w:p w14:paraId="3AF54A24"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A</w:t>
            </w:r>
          </w:p>
        </w:tc>
        <w:tc>
          <w:tcPr>
            <w:tcW w:w="3800" w:type="dxa"/>
            <w:vAlign w:val="bottom"/>
          </w:tcPr>
          <w:p w14:paraId="6F2A2A0E" w14:textId="2576652C"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1</w:t>
            </w:r>
            <w:r w:rsidR="00DC23DD" w:rsidRPr="00DC23DD">
              <w:rPr>
                <w:rFonts w:ascii="Calibri" w:hAnsi="Calibri" w:cs="Calibri"/>
                <w:color w:val="000000"/>
                <w:sz w:val="22"/>
                <w:szCs w:val="22"/>
              </w:rPr>
              <w:t>75</w:t>
            </w:r>
            <w:r w:rsidRPr="00DC23DD">
              <w:rPr>
                <w:rFonts w:ascii="Calibri" w:hAnsi="Calibri" w:cs="Calibri"/>
                <w:color w:val="000000"/>
                <w:sz w:val="22"/>
                <w:szCs w:val="22"/>
              </w:rPr>
              <w:t>.518</w:t>
            </w:r>
            <w:r w:rsidR="00DC23DD" w:rsidRPr="00DC23DD">
              <w:rPr>
                <w:rFonts w:ascii="Calibri" w:hAnsi="Calibri" w:cs="Calibri"/>
                <w:color w:val="000000"/>
                <w:sz w:val="22"/>
                <w:szCs w:val="22"/>
              </w:rPr>
              <w:t>7</w:t>
            </w:r>
          </w:p>
        </w:tc>
      </w:tr>
      <w:tr w:rsidR="00A11780" w:rsidRPr="0041799A" w14:paraId="187E5EB9" w14:textId="77777777" w:rsidTr="003928D8">
        <w:tc>
          <w:tcPr>
            <w:tcW w:w="1500" w:type="dxa"/>
            <w:vAlign w:val="center"/>
          </w:tcPr>
          <w:p w14:paraId="6C195B0B"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B</w:t>
            </w:r>
          </w:p>
        </w:tc>
        <w:tc>
          <w:tcPr>
            <w:tcW w:w="3800" w:type="dxa"/>
            <w:vAlign w:val="bottom"/>
          </w:tcPr>
          <w:p w14:paraId="23C6B0EE" w14:textId="606A7C6E"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204</w:t>
            </w:r>
            <w:r w:rsidR="00A11780" w:rsidRPr="00DC23DD">
              <w:rPr>
                <w:rFonts w:ascii="Calibri" w:hAnsi="Calibri" w:cs="Calibri"/>
                <w:color w:val="000000"/>
                <w:sz w:val="22"/>
                <w:szCs w:val="22"/>
              </w:rPr>
              <w:t>.</w:t>
            </w:r>
            <w:r w:rsidRPr="00DC23DD">
              <w:rPr>
                <w:rFonts w:ascii="Calibri" w:hAnsi="Calibri" w:cs="Calibri"/>
                <w:color w:val="000000"/>
                <w:sz w:val="22"/>
                <w:szCs w:val="22"/>
              </w:rPr>
              <w:t>7719</w:t>
            </w:r>
          </w:p>
        </w:tc>
      </w:tr>
      <w:tr w:rsidR="00A11780" w:rsidRPr="0041799A" w14:paraId="5D1E6EB5" w14:textId="77777777" w:rsidTr="003928D8">
        <w:tc>
          <w:tcPr>
            <w:tcW w:w="1500" w:type="dxa"/>
            <w:vAlign w:val="center"/>
          </w:tcPr>
          <w:p w14:paraId="4304A4E4"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C</w:t>
            </w:r>
          </w:p>
        </w:tc>
        <w:tc>
          <w:tcPr>
            <w:tcW w:w="3800" w:type="dxa"/>
            <w:vAlign w:val="bottom"/>
          </w:tcPr>
          <w:p w14:paraId="243695D2" w14:textId="28F614A8"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234</w:t>
            </w:r>
            <w:r w:rsidR="00A11780" w:rsidRPr="00DC23DD">
              <w:rPr>
                <w:rFonts w:ascii="Calibri" w:hAnsi="Calibri" w:cs="Calibri"/>
                <w:color w:val="000000"/>
                <w:sz w:val="22"/>
                <w:szCs w:val="22"/>
              </w:rPr>
              <w:t>.</w:t>
            </w:r>
            <w:r w:rsidRPr="00DC23DD">
              <w:rPr>
                <w:rFonts w:ascii="Calibri" w:hAnsi="Calibri" w:cs="Calibri"/>
                <w:color w:val="000000"/>
                <w:sz w:val="22"/>
                <w:szCs w:val="22"/>
              </w:rPr>
              <w:t>0249</w:t>
            </w:r>
          </w:p>
        </w:tc>
      </w:tr>
      <w:tr w:rsidR="00A11780" w:rsidRPr="0041799A" w14:paraId="1F53C76F" w14:textId="77777777" w:rsidTr="003928D8">
        <w:tc>
          <w:tcPr>
            <w:tcW w:w="1500" w:type="dxa"/>
            <w:vAlign w:val="center"/>
          </w:tcPr>
          <w:p w14:paraId="7389F24A"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D</w:t>
            </w:r>
          </w:p>
        </w:tc>
        <w:tc>
          <w:tcPr>
            <w:tcW w:w="3800" w:type="dxa"/>
            <w:vAlign w:val="bottom"/>
          </w:tcPr>
          <w:p w14:paraId="0E20E73D" w14:textId="6E1A7AD3"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263</w:t>
            </w:r>
            <w:r w:rsidR="00A11780" w:rsidRPr="00DC23DD">
              <w:rPr>
                <w:rFonts w:ascii="Calibri" w:hAnsi="Calibri" w:cs="Calibri"/>
                <w:color w:val="000000"/>
                <w:sz w:val="22"/>
                <w:szCs w:val="22"/>
              </w:rPr>
              <w:t>.2781</w:t>
            </w:r>
          </w:p>
        </w:tc>
      </w:tr>
      <w:tr w:rsidR="00A11780" w:rsidRPr="0041799A" w14:paraId="464C6DD6" w14:textId="77777777" w:rsidTr="003928D8">
        <w:tc>
          <w:tcPr>
            <w:tcW w:w="1500" w:type="dxa"/>
            <w:vAlign w:val="center"/>
          </w:tcPr>
          <w:p w14:paraId="6C16B09C"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E</w:t>
            </w:r>
          </w:p>
        </w:tc>
        <w:tc>
          <w:tcPr>
            <w:tcW w:w="3800" w:type="dxa"/>
            <w:vAlign w:val="bottom"/>
          </w:tcPr>
          <w:p w14:paraId="3D822EDB" w14:textId="20844179"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321.7843</w:t>
            </w:r>
          </w:p>
        </w:tc>
      </w:tr>
      <w:tr w:rsidR="00A11780" w:rsidRPr="0041799A" w14:paraId="1450D454" w14:textId="77777777" w:rsidTr="003928D8">
        <w:tc>
          <w:tcPr>
            <w:tcW w:w="1500" w:type="dxa"/>
            <w:vAlign w:val="center"/>
          </w:tcPr>
          <w:p w14:paraId="7D1E8241"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F</w:t>
            </w:r>
          </w:p>
        </w:tc>
        <w:tc>
          <w:tcPr>
            <w:tcW w:w="3800" w:type="dxa"/>
            <w:vAlign w:val="bottom"/>
          </w:tcPr>
          <w:p w14:paraId="1677FDD0" w14:textId="340AA3C5"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3</w:t>
            </w:r>
            <w:r w:rsidR="00DC23DD" w:rsidRPr="00DC23DD">
              <w:rPr>
                <w:rFonts w:ascii="Calibri" w:hAnsi="Calibri" w:cs="Calibri"/>
                <w:color w:val="000000"/>
                <w:sz w:val="22"/>
                <w:szCs w:val="22"/>
              </w:rPr>
              <w:t>80</w:t>
            </w:r>
            <w:r w:rsidRPr="00DC23DD">
              <w:rPr>
                <w:rFonts w:ascii="Calibri" w:hAnsi="Calibri" w:cs="Calibri"/>
                <w:color w:val="000000"/>
                <w:sz w:val="22"/>
                <w:szCs w:val="22"/>
              </w:rPr>
              <w:t>.</w:t>
            </w:r>
            <w:r w:rsidR="00DC23DD" w:rsidRPr="00DC23DD">
              <w:rPr>
                <w:rFonts w:ascii="Calibri" w:hAnsi="Calibri" w:cs="Calibri"/>
                <w:color w:val="000000"/>
                <w:sz w:val="22"/>
                <w:szCs w:val="22"/>
              </w:rPr>
              <w:t>2906</w:t>
            </w:r>
          </w:p>
        </w:tc>
      </w:tr>
      <w:tr w:rsidR="00A11780" w:rsidRPr="0041799A" w14:paraId="4D2A5520" w14:textId="77777777" w:rsidTr="003928D8">
        <w:tc>
          <w:tcPr>
            <w:tcW w:w="1500" w:type="dxa"/>
            <w:vAlign w:val="center"/>
          </w:tcPr>
          <w:p w14:paraId="7BEE6418"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G</w:t>
            </w:r>
          </w:p>
        </w:tc>
        <w:tc>
          <w:tcPr>
            <w:tcW w:w="3800" w:type="dxa"/>
            <w:vAlign w:val="bottom"/>
          </w:tcPr>
          <w:p w14:paraId="0382D4CC" w14:textId="39629BDF"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438</w:t>
            </w:r>
            <w:r w:rsidR="00A11780" w:rsidRPr="00DC23DD">
              <w:rPr>
                <w:rFonts w:ascii="Calibri" w:hAnsi="Calibri" w:cs="Calibri"/>
                <w:color w:val="000000"/>
                <w:sz w:val="22"/>
                <w:szCs w:val="22"/>
              </w:rPr>
              <w:t>.</w:t>
            </w:r>
            <w:r w:rsidRPr="00DC23DD">
              <w:rPr>
                <w:rFonts w:ascii="Calibri" w:hAnsi="Calibri" w:cs="Calibri"/>
                <w:color w:val="000000"/>
                <w:sz w:val="22"/>
                <w:szCs w:val="22"/>
              </w:rPr>
              <w:t>7968</w:t>
            </w:r>
          </w:p>
        </w:tc>
      </w:tr>
      <w:tr w:rsidR="00A11780" w:rsidRPr="00E37F8A" w14:paraId="0C081AD6" w14:textId="77777777" w:rsidTr="003928D8">
        <w:tc>
          <w:tcPr>
            <w:tcW w:w="1500" w:type="dxa"/>
            <w:vAlign w:val="center"/>
          </w:tcPr>
          <w:p w14:paraId="6C107D3F" w14:textId="77777777" w:rsidR="00A11780" w:rsidRPr="00DC23DD" w:rsidRDefault="00A11780" w:rsidP="00A11780">
            <w:pPr>
              <w:jc w:val="center"/>
              <w:rPr>
                <w:rFonts w:ascii="Calibri" w:hAnsi="Calibri" w:cs="Calibri"/>
                <w:color w:val="000000"/>
                <w:sz w:val="22"/>
                <w:szCs w:val="22"/>
              </w:rPr>
            </w:pPr>
            <w:r w:rsidRPr="00DC23DD">
              <w:rPr>
                <w:rFonts w:ascii="Calibri" w:hAnsi="Calibri" w:cs="Calibri"/>
                <w:color w:val="000000"/>
                <w:sz w:val="22"/>
                <w:szCs w:val="22"/>
              </w:rPr>
              <w:t>H</w:t>
            </w:r>
          </w:p>
        </w:tc>
        <w:tc>
          <w:tcPr>
            <w:tcW w:w="3800" w:type="dxa"/>
            <w:vAlign w:val="bottom"/>
          </w:tcPr>
          <w:p w14:paraId="4FA1C4CF" w14:textId="64CBFEB2" w:rsidR="00A11780" w:rsidRPr="00DC23DD" w:rsidRDefault="00DC23DD" w:rsidP="00A11780">
            <w:pPr>
              <w:jc w:val="center"/>
              <w:rPr>
                <w:rFonts w:ascii="Calibri" w:hAnsi="Calibri" w:cs="Calibri"/>
                <w:color w:val="000000"/>
                <w:sz w:val="22"/>
                <w:szCs w:val="22"/>
              </w:rPr>
            </w:pPr>
            <w:r w:rsidRPr="00DC23DD">
              <w:rPr>
                <w:rFonts w:ascii="Calibri" w:hAnsi="Calibri" w:cs="Calibri"/>
                <w:color w:val="000000"/>
                <w:sz w:val="22"/>
                <w:szCs w:val="22"/>
              </w:rPr>
              <w:t>526</w:t>
            </w:r>
            <w:r w:rsidR="00A11780" w:rsidRPr="00DC23DD">
              <w:rPr>
                <w:rFonts w:ascii="Calibri" w:hAnsi="Calibri" w:cs="Calibri"/>
                <w:color w:val="000000"/>
                <w:sz w:val="22"/>
                <w:szCs w:val="22"/>
              </w:rPr>
              <w:t>.</w:t>
            </w:r>
            <w:r w:rsidRPr="00DC23DD">
              <w:rPr>
                <w:rFonts w:ascii="Calibri" w:hAnsi="Calibri" w:cs="Calibri"/>
                <w:color w:val="000000"/>
                <w:sz w:val="22"/>
                <w:szCs w:val="22"/>
              </w:rPr>
              <w:t>5562</w:t>
            </w:r>
          </w:p>
        </w:tc>
      </w:tr>
    </w:tbl>
    <w:p w14:paraId="2DFA2ADB" w14:textId="77777777" w:rsidR="00730137" w:rsidRPr="00E37F8A" w:rsidRDefault="00730137" w:rsidP="00887E34">
      <w:pPr>
        <w:ind w:left="1418" w:hanging="720"/>
      </w:pPr>
    </w:p>
    <w:p w14:paraId="714AE65A" w14:textId="5490CE3E" w:rsidR="00730137" w:rsidRPr="00856400" w:rsidRDefault="00730137" w:rsidP="00887E34">
      <w:pPr>
        <w:ind w:left="1418" w:hanging="720"/>
      </w:pPr>
      <w:r w:rsidRPr="00414CBA">
        <w:t>vi)</w:t>
      </w:r>
      <w:r w:rsidRPr="00414CBA">
        <w:tab/>
      </w:r>
      <w:r w:rsidR="00FE40DA" w:rsidRPr="00CA0385">
        <w:t>T</w:t>
      </w:r>
      <w:r w:rsidRPr="00CA0385">
        <w:t xml:space="preserve">he </w:t>
      </w:r>
      <w:r w:rsidR="00A11780" w:rsidRPr="00CA0385">
        <w:t>Mayor</w:t>
      </w:r>
      <w:r w:rsidRPr="00CA0385">
        <w:t xml:space="preserve"> issues a precept </w:t>
      </w:r>
      <w:r w:rsidR="00AB592D" w:rsidRPr="00CA0385">
        <w:t>of £</w:t>
      </w:r>
      <w:r w:rsidR="00CA0385" w:rsidRPr="00CA0385">
        <w:t>182,552,211</w:t>
      </w:r>
      <w:r w:rsidR="00987579" w:rsidRPr="00CA0385">
        <w:t xml:space="preserve"> </w:t>
      </w:r>
      <w:r w:rsidRPr="00CA0385">
        <w:t>for the fi</w:t>
      </w:r>
      <w:r w:rsidR="00BA4B40" w:rsidRPr="00CA0385">
        <w:t>n</w:t>
      </w:r>
      <w:r w:rsidR="00E76865" w:rsidRPr="00CA0385">
        <w:t>ancial year ending 31 March 202</w:t>
      </w:r>
      <w:r w:rsidR="0041799A" w:rsidRPr="00CA0385">
        <w:t>6</w:t>
      </w:r>
      <w:r w:rsidRPr="00CA0385">
        <w:t xml:space="preserve"> and authorises h</w:t>
      </w:r>
      <w:r w:rsidR="00987579" w:rsidRPr="00CA0385">
        <w:t>er</w:t>
      </w:r>
      <w:r w:rsidRPr="00CA0385">
        <w:t xml:space="preserve"> Chief Finance Officer to issue a formal precept demand as follows:</w:t>
      </w:r>
      <w:r w:rsidRPr="00856400">
        <w:t xml:space="preserve">  </w:t>
      </w:r>
    </w:p>
    <w:p w14:paraId="6173FFE2" w14:textId="77777777" w:rsidR="00730137" w:rsidRPr="00856400" w:rsidRDefault="00730137" w:rsidP="00887E34">
      <w:pPr>
        <w:ind w:left="1418" w:hanging="720"/>
      </w:pPr>
    </w:p>
    <w:p w14:paraId="3A2C5E3D" w14:textId="77777777" w:rsidR="00730137" w:rsidRPr="00856400" w:rsidRDefault="00730137" w:rsidP="00887E34">
      <w:pPr>
        <w:ind w:left="2160" w:hanging="727"/>
      </w:pPr>
      <w:r w:rsidRPr="00856400">
        <w:t>a)</w:t>
      </w:r>
      <w:r w:rsidRPr="00856400">
        <w:tab/>
        <w:t>to pay the following amounts, calculated in accordance with section 48 of the Local Government Finance Act 1992:</w:t>
      </w:r>
    </w:p>
    <w:p w14:paraId="53281B88" w14:textId="77777777" w:rsidR="00730137" w:rsidRPr="00856400" w:rsidRDefault="00730137" w:rsidP="00887E34">
      <w:pPr>
        <w:ind w:left="2160" w:hanging="727"/>
      </w:pPr>
    </w:p>
    <w:tbl>
      <w:tblPr>
        <w:tblW w:w="0" w:type="auto"/>
        <w:tblInd w:w="1608"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000" w:firstRow="0" w:lastRow="0" w:firstColumn="0" w:lastColumn="0" w:noHBand="0" w:noVBand="0"/>
      </w:tblPr>
      <w:tblGrid>
        <w:gridCol w:w="1500"/>
        <w:gridCol w:w="3800"/>
      </w:tblGrid>
      <w:tr w:rsidR="00730137" w:rsidRPr="00856400" w14:paraId="096688B1" w14:textId="77777777" w:rsidTr="00F63D08">
        <w:tc>
          <w:tcPr>
            <w:tcW w:w="1500" w:type="dxa"/>
          </w:tcPr>
          <w:p w14:paraId="44B51449" w14:textId="77777777" w:rsidR="00730137" w:rsidRPr="00856400" w:rsidRDefault="00730137" w:rsidP="00887E34"/>
        </w:tc>
        <w:tc>
          <w:tcPr>
            <w:tcW w:w="3800" w:type="dxa"/>
          </w:tcPr>
          <w:p w14:paraId="71D8133A" w14:textId="77777777" w:rsidR="00730137" w:rsidRPr="00E93694" w:rsidRDefault="00730137" w:rsidP="00887E34">
            <w:pPr>
              <w:rPr>
                <w:b/>
              </w:rPr>
            </w:pPr>
            <w:r>
              <w:rPr>
                <w:b/>
              </w:rPr>
              <w:t>£</w:t>
            </w:r>
          </w:p>
        </w:tc>
      </w:tr>
      <w:tr w:rsidR="00730137" w:rsidRPr="00856400" w14:paraId="361C24AF" w14:textId="77777777" w:rsidTr="00F63D08">
        <w:tc>
          <w:tcPr>
            <w:tcW w:w="1500" w:type="dxa"/>
          </w:tcPr>
          <w:p w14:paraId="3D96A214" w14:textId="77777777" w:rsidR="00730137" w:rsidRPr="00856400" w:rsidRDefault="00730137" w:rsidP="00887E34"/>
        </w:tc>
        <w:tc>
          <w:tcPr>
            <w:tcW w:w="3800" w:type="dxa"/>
          </w:tcPr>
          <w:p w14:paraId="56D4A072" w14:textId="77777777" w:rsidR="00730137" w:rsidRPr="00856400" w:rsidRDefault="00730137" w:rsidP="00887E34"/>
        </w:tc>
      </w:tr>
      <w:tr w:rsidR="00EC0140" w:rsidRPr="00856400" w14:paraId="1E78E9F0" w14:textId="77777777" w:rsidTr="003928D8">
        <w:tc>
          <w:tcPr>
            <w:tcW w:w="1500" w:type="dxa"/>
          </w:tcPr>
          <w:p w14:paraId="70B81D4C" w14:textId="77777777" w:rsidR="00EC0140" w:rsidRPr="009C73DC" w:rsidRDefault="00EC0140" w:rsidP="00EC0140">
            <w:r w:rsidRPr="009C73DC">
              <w:t>Bradford</w:t>
            </w:r>
          </w:p>
        </w:tc>
        <w:tc>
          <w:tcPr>
            <w:tcW w:w="3800" w:type="dxa"/>
            <w:vAlign w:val="bottom"/>
          </w:tcPr>
          <w:p w14:paraId="6248D0A3" w14:textId="4C792F8E" w:rsidR="00EC0140" w:rsidRPr="00DC23DD" w:rsidRDefault="00987579" w:rsidP="00EC0140">
            <w:pPr>
              <w:jc w:val="center"/>
              <w:rPr>
                <w:rFonts w:ascii="Calibri" w:hAnsi="Calibri" w:cs="Calibri"/>
                <w:color w:val="000000"/>
                <w:sz w:val="22"/>
                <w:szCs w:val="22"/>
              </w:rPr>
            </w:pPr>
            <w:r w:rsidRPr="00DC23DD">
              <w:rPr>
                <w:rFonts w:ascii="Calibri" w:hAnsi="Calibri" w:cs="Calibri"/>
                <w:color w:val="000000"/>
                <w:sz w:val="22"/>
                <w:szCs w:val="22"/>
              </w:rPr>
              <w:t>3</w:t>
            </w:r>
            <w:r w:rsidR="00DC23DD" w:rsidRPr="00DC23DD">
              <w:rPr>
                <w:rFonts w:ascii="Calibri" w:hAnsi="Calibri" w:cs="Calibri"/>
                <w:color w:val="000000"/>
                <w:sz w:val="22"/>
                <w:szCs w:val="22"/>
              </w:rPr>
              <w:t>8</w:t>
            </w:r>
            <w:r w:rsidRPr="00DC23DD">
              <w:rPr>
                <w:rFonts w:ascii="Calibri" w:hAnsi="Calibri" w:cs="Calibri"/>
                <w:color w:val="000000"/>
                <w:sz w:val="22"/>
                <w:szCs w:val="22"/>
              </w:rPr>
              <w:t>,</w:t>
            </w:r>
            <w:r w:rsidR="00DC23DD" w:rsidRPr="00DC23DD">
              <w:rPr>
                <w:rFonts w:ascii="Calibri" w:hAnsi="Calibri" w:cs="Calibri"/>
                <w:color w:val="000000"/>
                <w:sz w:val="22"/>
                <w:szCs w:val="22"/>
              </w:rPr>
              <w:t>894</w:t>
            </w:r>
            <w:r w:rsidRPr="00DC23DD">
              <w:rPr>
                <w:rFonts w:ascii="Calibri" w:hAnsi="Calibri" w:cs="Calibri"/>
                <w:color w:val="000000"/>
                <w:sz w:val="22"/>
                <w:szCs w:val="22"/>
              </w:rPr>
              <w:t>,</w:t>
            </w:r>
            <w:r w:rsidR="00DC23DD" w:rsidRPr="00DC23DD">
              <w:rPr>
                <w:rFonts w:ascii="Calibri" w:hAnsi="Calibri" w:cs="Calibri"/>
                <w:color w:val="000000"/>
                <w:sz w:val="22"/>
                <w:szCs w:val="22"/>
              </w:rPr>
              <w:t>073.71</w:t>
            </w:r>
          </w:p>
        </w:tc>
      </w:tr>
      <w:tr w:rsidR="00EC0140" w:rsidRPr="00856400" w14:paraId="7E3551F8" w14:textId="77777777" w:rsidTr="003928D8">
        <w:tc>
          <w:tcPr>
            <w:tcW w:w="1500" w:type="dxa"/>
          </w:tcPr>
          <w:p w14:paraId="1FB3652C" w14:textId="77777777" w:rsidR="00EC0140" w:rsidRPr="009C73DC" w:rsidRDefault="00EC0140" w:rsidP="00EC0140"/>
        </w:tc>
        <w:tc>
          <w:tcPr>
            <w:tcW w:w="3800" w:type="dxa"/>
            <w:vAlign w:val="bottom"/>
          </w:tcPr>
          <w:p w14:paraId="403CF950" w14:textId="77777777" w:rsidR="00EC0140" w:rsidRPr="00DC23DD" w:rsidRDefault="00EC0140" w:rsidP="00EC0140">
            <w:pPr>
              <w:jc w:val="center"/>
              <w:rPr>
                <w:rFonts w:ascii="Calibri" w:hAnsi="Calibri" w:cs="Calibri"/>
                <w:color w:val="000000"/>
                <w:sz w:val="22"/>
                <w:szCs w:val="22"/>
              </w:rPr>
            </w:pPr>
          </w:p>
        </w:tc>
      </w:tr>
      <w:tr w:rsidR="00EC0140" w:rsidRPr="00856400" w14:paraId="5F116F68" w14:textId="77777777" w:rsidTr="003928D8">
        <w:tc>
          <w:tcPr>
            <w:tcW w:w="1500" w:type="dxa"/>
          </w:tcPr>
          <w:p w14:paraId="5E96841D" w14:textId="77777777" w:rsidR="00EC0140" w:rsidRPr="009C73DC" w:rsidRDefault="00EC0140" w:rsidP="00EC0140">
            <w:r w:rsidRPr="009C73DC">
              <w:t>Calderdale</w:t>
            </w:r>
          </w:p>
        </w:tc>
        <w:tc>
          <w:tcPr>
            <w:tcW w:w="3800" w:type="dxa"/>
            <w:vAlign w:val="bottom"/>
          </w:tcPr>
          <w:p w14:paraId="4F573177" w14:textId="2BBA6EE0" w:rsidR="00EC0140" w:rsidRPr="00DC23DD" w:rsidRDefault="00987579" w:rsidP="00EC0140">
            <w:pPr>
              <w:jc w:val="center"/>
              <w:rPr>
                <w:rFonts w:ascii="Calibri" w:hAnsi="Calibri" w:cs="Calibri"/>
                <w:color w:val="000000"/>
                <w:sz w:val="22"/>
                <w:szCs w:val="22"/>
              </w:rPr>
            </w:pPr>
            <w:r w:rsidRPr="00DC23DD">
              <w:rPr>
                <w:rFonts w:ascii="Calibri" w:hAnsi="Calibri" w:cs="Calibri"/>
                <w:color w:val="000000"/>
                <w:sz w:val="22"/>
                <w:szCs w:val="22"/>
              </w:rPr>
              <w:t>1</w:t>
            </w:r>
            <w:r w:rsidR="00DC23DD" w:rsidRPr="00DC23DD">
              <w:rPr>
                <w:rFonts w:ascii="Calibri" w:hAnsi="Calibri" w:cs="Calibri"/>
                <w:color w:val="000000"/>
                <w:sz w:val="22"/>
                <w:szCs w:val="22"/>
              </w:rPr>
              <w:t>7</w:t>
            </w:r>
            <w:r w:rsidRPr="00DC23DD">
              <w:rPr>
                <w:rFonts w:ascii="Calibri" w:hAnsi="Calibri" w:cs="Calibri"/>
                <w:color w:val="000000"/>
                <w:sz w:val="22"/>
                <w:szCs w:val="22"/>
              </w:rPr>
              <w:t>,</w:t>
            </w:r>
            <w:r w:rsidR="00DC23DD" w:rsidRPr="00DC23DD">
              <w:rPr>
                <w:rFonts w:ascii="Calibri" w:hAnsi="Calibri" w:cs="Calibri"/>
                <w:color w:val="000000"/>
                <w:sz w:val="22"/>
                <w:szCs w:val="22"/>
              </w:rPr>
              <w:t>441</w:t>
            </w:r>
            <w:r w:rsidRPr="00DC23DD">
              <w:rPr>
                <w:rFonts w:ascii="Calibri" w:hAnsi="Calibri" w:cs="Calibri"/>
                <w:color w:val="000000"/>
                <w:sz w:val="22"/>
                <w:szCs w:val="22"/>
              </w:rPr>
              <w:t>,</w:t>
            </w:r>
            <w:r w:rsidR="00DC23DD" w:rsidRPr="00DC23DD">
              <w:rPr>
                <w:rFonts w:ascii="Calibri" w:hAnsi="Calibri" w:cs="Calibri"/>
                <w:color w:val="000000"/>
                <w:sz w:val="22"/>
                <w:szCs w:val="22"/>
              </w:rPr>
              <w:t>010</w:t>
            </w:r>
            <w:r w:rsidRPr="00DC23DD">
              <w:rPr>
                <w:rFonts w:ascii="Calibri" w:hAnsi="Calibri" w:cs="Calibri"/>
                <w:color w:val="000000"/>
                <w:sz w:val="22"/>
                <w:szCs w:val="22"/>
              </w:rPr>
              <w:t>.</w:t>
            </w:r>
            <w:r w:rsidR="00DC23DD" w:rsidRPr="00DC23DD">
              <w:rPr>
                <w:rFonts w:ascii="Calibri" w:hAnsi="Calibri" w:cs="Calibri"/>
                <w:color w:val="000000"/>
                <w:sz w:val="22"/>
                <w:szCs w:val="22"/>
              </w:rPr>
              <w:t>44</w:t>
            </w:r>
          </w:p>
        </w:tc>
      </w:tr>
      <w:tr w:rsidR="00EC0140" w:rsidRPr="00856400" w14:paraId="47E7C5AF" w14:textId="77777777" w:rsidTr="003928D8">
        <w:tc>
          <w:tcPr>
            <w:tcW w:w="1500" w:type="dxa"/>
          </w:tcPr>
          <w:p w14:paraId="3AEBC611" w14:textId="77777777" w:rsidR="00EC0140" w:rsidRPr="009C73DC" w:rsidRDefault="00EC0140" w:rsidP="00EC0140"/>
        </w:tc>
        <w:tc>
          <w:tcPr>
            <w:tcW w:w="3800" w:type="dxa"/>
            <w:vAlign w:val="bottom"/>
          </w:tcPr>
          <w:p w14:paraId="021A597D" w14:textId="77777777" w:rsidR="00EC0140" w:rsidRPr="00DC23DD" w:rsidRDefault="00EC0140" w:rsidP="00EC0140">
            <w:pPr>
              <w:jc w:val="center"/>
              <w:rPr>
                <w:rFonts w:ascii="Calibri" w:hAnsi="Calibri" w:cs="Calibri"/>
                <w:color w:val="000000"/>
                <w:sz w:val="22"/>
                <w:szCs w:val="22"/>
              </w:rPr>
            </w:pPr>
          </w:p>
        </w:tc>
      </w:tr>
      <w:tr w:rsidR="00EC0140" w:rsidRPr="00856400" w14:paraId="39706433" w14:textId="77777777" w:rsidTr="003928D8">
        <w:tc>
          <w:tcPr>
            <w:tcW w:w="1500" w:type="dxa"/>
          </w:tcPr>
          <w:p w14:paraId="2197AA0A" w14:textId="77777777" w:rsidR="00EC0140" w:rsidRPr="009C73DC" w:rsidRDefault="00EC0140" w:rsidP="00EC0140">
            <w:r w:rsidRPr="009C73DC">
              <w:t>Kirklees</w:t>
            </w:r>
          </w:p>
        </w:tc>
        <w:tc>
          <w:tcPr>
            <w:tcW w:w="3800" w:type="dxa"/>
            <w:vAlign w:val="bottom"/>
          </w:tcPr>
          <w:p w14:paraId="5262F57B" w14:textId="1DECEED6" w:rsidR="00EC0140" w:rsidRPr="00DC23DD" w:rsidRDefault="00DC23DD" w:rsidP="00EC0140">
            <w:pPr>
              <w:jc w:val="center"/>
              <w:rPr>
                <w:rFonts w:ascii="Calibri" w:hAnsi="Calibri" w:cs="Calibri"/>
                <w:color w:val="000000"/>
                <w:sz w:val="22"/>
                <w:szCs w:val="22"/>
              </w:rPr>
            </w:pPr>
            <w:r w:rsidRPr="00DC23DD">
              <w:rPr>
                <w:rFonts w:ascii="Calibri" w:hAnsi="Calibri" w:cs="Calibri"/>
                <w:color w:val="000000"/>
                <w:sz w:val="22"/>
                <w:szCs w:val="22"/>
              </w:rPr>
              <w:t>33</w:t>
            </w:r>
            <w:r w:rsidR="00987579" w:rsidRPr="00DC23DD">
              <w:rPr>
                <w:rFonts w:ascii="Calibri" w:hAnsi="Calibri" w:cs="Calibri"/>
                <w:color w:val="000000"/>
                <w:sz w:val="22"/>
                <w:szCs w:val="22"/>
              </w:rPr>
              <w:t>,</w:t>
            </w:r>
            <w:r w:rsidRPr="00DC23DD">
              <w:rPr>
                <w:rFonts w:ascii="Calibri" w:hAnsi="Calibri" w:cs="Calibri"/>
                <w:color w:val="000000"/>
                <w:sz w:val="22"/>
                <w:szCs w:val="22"/>
              </w:rPr>
              <w:t>894</w:t>
            </w:r>
            <w:r w:rsidR="00987579" w:rsidRPr="00DC23DD">
              <w:rPr>
                <w:rFonts w:ascii="Calibri" w:hAnsi="Calibri" w:cs="Calibri"/>
                <w:color w:val="000000"/>
                <w:sz w:val="22"/>
                <w:szCs w:val="22"/>
              </w:rPr>
              <w:t>,</w:t>
            </w:r>
            <w:r w:rsidRPr="00DC23DD">
              <w:rPr>
                <w:rFonts w:ascii="Calibri" w:hAnsi="Calibri" w:cs="Calibri"/>
                <w:color w:val="000000"/>
                <w:sz w:val="22"/>
                <w:szCs w:val="22"/>
              </w:rPr>
              <w:t>922.82</w:t>
            </w:r>
          </w:p>
        </w:tc>
      </w:tr>
      <w:tr w:rsidR="00EC0140" w:rsidRPr="00856400" w14:paraId="2660E367" w14:textId="77777777" w:rsidTr="003928D8">
        <w:tc>
          <w:tcPr>
            <w:tcW w:w="1500" w:type="dxa"/>
          </w:tcPr>
          <w:p w14:paraId="27C0BD50" w14:textId="77777777" w:rsidR="00EC0140" w:rsidRPr="009C73DC" w:rsidRDefault="00EC0140" w:rsidP="00EC0140"/>
        </w:tc>
        <w:tc>
          <w:tcPr>
            <w:tcW w:w="3800" w:type="dxa"/>
            <w:vAlign w:val="bottom"/>
          </w:tcPr>
          <w:p w14:paraId="282B762A" w14:textId="77777777" w:rsidR="00EC0140" w:rsidRPr="00DC23DD" w:rsidRDefault="00EC0140" w:rsidP="00EC0140">
            <w:pPr>
              <w:jc w:val="center"/>
              <w:rPr>
                <w:rFonts w:ascii="Calibri" w:hAnsi="Calibri" w:cs="Calibri"/>
                <w:color w:val="000000"/>
                <w:sz w:val="22"/>
                <w:szCs w:val="22"/>
              </w:rPr>
            </w:pPr>
          </w:p>
        </w:tc>
      </w:tr>
      <w:tr w:rsidR="00EC0140" w:rsidRPr="00856400" w14:paraId="27004D78" w14:textId="77777777" w:rsidTr="003928D8">
        <w:tc>
          <w:tcPr>
            <w:tcW w:w="1500" w:type="dxa"/>
          </w:tcPr>
          <w:p w14:paraId="6E00BE75" w14:textId="77777777" w:rsidR="00EC0140" w:rsidRPr="009C73DC" w:rsidRDefault="00EC0140" w:rsidP="00EC0140">
            <w:r w:rsidRPr="009C73DC">
              <w:t>Leeds</w:t>
            </w:r>
          </w:p>
        </w:tc>
        <w:tc>
          <w:tcPr>
            <w:tcW w:w="3800" w:type="dxa"/>
            <w:vAlign w:val="bottom"/>
          </w:tcPr>
          <w:p w14:paraId="2D9778C1" w14:textId="4E60DC73" w:rsidR="00EC0140" w:rsidRPr="00DC23DD" w:rsidRDefault="00DC23DD" w:rsidP="00EC0140">
            <w:pPr>
              <w:jc w:val="center"/>
              <w:rPr>
                <w:rFonts w:ascii="Calibri" w:hAnsi="Calibri" w:cs="Calibri"/>
                <w:color w:val="000000"/>
                <w:sz w:val="22"/>
                <w:szCs w:val="22"/>
              </w:rPr>
            </w:pPr>
            <w:r w:rsidRPr="00DC23DD">
              <w:rPr>
                <w:rFonts w:ascii="Calibri" w:hAnsi="Calibri" w:cs="Calibri"/>
                <w:color w:val="000000"/>
                <w:sz w:val="22"/>
                <w:szCs w:val="22"/>
              </w:rPr>
              <w:t>64</w:t>
            </w:r>
            <w:r w:rsidR="006F3B13" w:rsidRPr="00DC23DD">
              <w:rPr>
                <w:rFonts w:ascii="Calibri" w:hAnsi="Calibri" w:cs="Calibri"/>
                <w:color w:val="000000"/>
                <w:sz w:val="22"/>
                <w:szCs w:val="22"/>
              </w:rPr>
              <w:t>,</w:t>
            </w:r>
            <w:r w:rsidRPr="00DC23DD">
              <w:rPr>
                <w:rFonts w:ascii="Calibri" w:hAnsi="Calibri" w:cs="Calibri"/>
                <w:color w:val="000000"/>
                <w:sz w:val="22"/>
                <w:szCs w:val="22"/>
              </w:rPr>
              <w:t>233,037.50</w:t>
            </w:r>
          </w:p>
        </w:tc>
      </w:tr>
      <w:tr w:rsidR="00EC0140" w:rsidRPr="00856400" w14:paraId="6D1CC4C1" w14:textId="77777777" w:rsidTr="003928D8">
        <w:tc>
          <w:tcPr>
            <w:tcW w:w="1500" w:type="dxa"/>
          </w:tcPr>
          <w:p w14:paraId="51A8C7C3" w14:textId="77777777" w:rsidR="00EC0140" w:rsidRPr="009C73DC" w:rsidRDefault="00EC0140" w:rsidP="00EC0140"/>
        </w:tc>
        <w:tc>
          <w:tcPr>
            <w:tcW w:w="3800" w:type="dxa"/>
            <w:vAlign w:val="bottom"/>
          </w:tcPr>
          <w:p w14:paraId="53047581" w14:textId="77777777" w:rsidR="00EC0140" w:rsidRPr="00DC23DD" w:rsidRDefault="00EC0140" w:rsidP="00EC0140">
            <w:pPr>
              <w:jc w:val="center"/>
              <w:rPr>
                <w:rFonts w:ascii="Calibri" w:hAnsi="Calibri" w:cs="Calibri"/>
                <w:color w:val="000000"/>
                <w:sz w:val="22"/>
                <w:szCs w:val="22"/>
              </w:rPr>
            </w:pPr>
          </w:p>
        </w:tc>
      </w:tr>
      <w:tr w:rsidR="00EC0140" w:rsidRPr="00856400" w14:paraId="412432F7" w14:textId="77777777" w:rsidTr="003928D8">
        <w:tc>
          <w:tcPr>
            <w:tcW w:w="1500" w:type="dxa"/>
          </w:tcPr>
          <w:p w14:paraId="03B519BA" w14:textId="77777777" w:rsidR="00EC0140" w:rsidRPr="009C73DC" w:rsidRDefault="00EC0140" w:rsidP="00EC0140">
            <w:r w:rsidRPr="009C73DC">
              <w:t>Wakefield</w:t>
            </w:r>
          </w:p>
        </w:tc>
        <w:tc>
          <w:tcPr>
            <w:tcW w:w="3800" w:type="dxa"/>
            <w:vAlign w:val="bottom"/>
          </w:tcPr>
          <w:p w14:paraId="55A8A08D" w14:textId="32724F47" w:rsidR="00EC0140" w:rsidRPr="00DC23DD" w:rsidRDefault="006F3B13" w:rsidP="00EC0140">
            <w:pPr>
              <w:jc w:val="center"/>
              <w:rPr>
                <w:rFonts w:ascii="Calibri" w:hAnsi="Calibri" w:cs="Calibri"/>
                <w:color w:val="000000"/>
                <w:sz w:val="22"/>
                <w:szCs w:val="22"/>
              </w:rPr>
            </w:pPr>
            <w:r w:rsidRPr="00DC23DD">
              <w:rPr>
                <w:rFonts w:ascii="Calibri" w:hAnsi="Calibri" w:cs="Calibri"/>
                <w:color w:val="000000"/>
                <w:sz w:val="22"/>
                <w:szCs w:val="22"/>
              </w:rPr>
              <w:t>2</w:t>
            </w:r>
            <w:r w:rsidR="00DC23DD" w:rsidRPr="00DC23DD">
              <w:rPr>
                <w:rFonts w:ascii="Calibri" w:hAnsi="Calibri" w:cs="Calibri"/>
                <w:color w:val="000000"/>
                <w:sz w:val="22"/>
                <w:szCs w:val="22"/>
              </w:rPr>
              <w:t>8</w:t>
            </w:r>
            <w:r w:rsidRPr="00DC23DD">
              <w:rPr>
                <w:rFonts w:ascii="Calibri" w:hAnsi="Calibri" w:cs="Calibri"/>
                <w:color w:val="000000"/>
                <w:sz w:val="22"/>
                <w:szCs w:val="22"/>
              </w:rPr>
              <w:t>,</w:t>
            </w:r>
            <w:r w:rsidR="00DC23DD" w:rsidRPr="00DC23DD">
              <w:rPr>
                <w:rFonts w:ascii="Calibri" w:hAnsi="Calibri" w:cs="Calibri"/>
                <w:color w:val="000000"/>
                <w:sz w:val="22"/>
                <w:szCs w:val="22"/>
              </w:rPr>
              <w:t>089</w:t>
            </w:r>
            <w:r w:rsidRPr="00DC23DD">
              <w:rPr>
                <w:rFonts w:ascii="Calibri" w:hAnsi="Calibri" w:cs="Calibri"/>
                <w:color w:val="000000"/>
                <w:sz w:val="22"/>
                <w:szCs w:val="22"/>
              </w:rPr>
              <w:t>,</w:t>
            </w:r>
            <w:r w:rsidR="00DC23DD" w:rsidRPr="00DC23DD">
              <w:rPr>
                <w:rFonts w:ascii="Calibri" w:hAnsi="Calibri" w:cs="Calibri"/>
                <w:color w:val="000000"/>
                <w:sz w:val="22"/>
                <w:szCs w:val="22"/>
              </w:rPr>
              <w:t>140</w:t>
            </w:r>
            <w:r w:rsidRPr="00DC23DD">
              <w:rPr>
                <w:rFonts w:ascii="Calibri" w:hAnsi="Calibri" w:cs="Calibri"/>
                <w:color w:val="000000"/>
                <w:sz w:val="22"/>
                <w:szCs w:val="22"/>
              </w:rPr>
              <w:t>.4</w:t>
            </w:r>
            <w:r w:rsidR="00DC23DD" w:rsidRPr="00DC23DD">
              <w:rPr>
                <w:rFonts w:ascii="Calibri" w:hAnsi="Calibri" w:cs="Calibri"/>
                <w:color w:val="000000"/>
                <w:sz w:val="22"/>
                <w:szCs w:val="22"/>
              </w:rPr>
              <w:t>9</w:t>
            </w:r>
          </w:p>
        </w:tc>
      </w:tr>
    </w:tbl>
    <w:p w14:paraId="24C3FD3B" w14:textId="77777777" w:rsidR="00730137" w:rsidRPr="00856400" w:rsidRDefault="00730137" w:rsidP="00887E34">
      <w:pPr>
        <w:ind w:left="2160" w:hanging="727"/>
      </w:pPr>
    </w:p>
    <w:p w14:paraId="0DD68F90" w14:textId="77777777" w:rsidR="00730137" w:rsidRPr="00856400" w:rsidRDefault="00730137" w:rsidP="00887E34">
      <w:pPr>
        <w:ind w:left="2160" w:hanging="1451"/>
      </w:pPr>
    </w:p>
    <w:p w14:paraId="7B4E3398" w14:textId="77777777" w:rsidR="00730137" w:rsidRDefault="00730137" w:rsidP="00887E34">
      <w:pPr>
        <w:ind w:left="2160" w:hanging="731"/>
      </w:pPr>
      <w:r w:rsidRPr="00035F04">
        <w:t>b)</w:t>
      </w:r>
      <w:r w:rsidRPr="00035F04">
        <w:tab/>
        <w:t xml:space="preserve">and to make 12 equal payments to the </w:t>
      </w:r>
      <w:r w:rsidR="00AB592D" w:rsidRPr="00035F04">
        <w:t>PC</w:t>
      </w:r>
      <w:r w:rsidR="00B96195">
        <w:t>C around</w:t>
      </w:r>
      <w:r w:rsidRPr="00035F04">
        <w:t xml:space="preserve"> the </w:t>
      </w:r>
      <w:r w:rsidRPr="00B96195">
        <w:t>15th</w:t>
      </w:r>
      <w:r w:rsidRPr="00035F04">
        <w:t xml:space="preserve"> day of each month or the following banking day.</w:t>
      </w:r>
    </w:p>
    <w:p w14:paraId="021E3579" w14:textId="77777777" w:rsidR="00730137" w:rsidRPr="00856400" w:rsidRDefault="00730137" w:rsidP="00887E34">
      <w:pPr>
        <w:ind w:left="2160" w:hanging="731"/>
      </w:pPr>
    </w:p>
    <w:p w14:paraId="5BF6221F" w14:textId="77777777" w:rsidR="00730137" w:rsidRPr="00257262" w:rsidRDefault="00730137" w:rsidP="00887E34">
      <w:pPr>
        <w:pStyle w:val="Heading5"/>
        <w:rPr>
          <w:rFonts w:ascii="Arial" w:hAnsi="Arial"/>
        </w:rPr>
      </w:pPr>
      <w:r w:rsidRPr="00257262">
        <w:rPr>
          <w:rFonts w:ascii="Arial" w:hAnsi="Arial"/>
          <w:b w:val="0"/>
        </w:rPr>
        <w:t>vii)</w:t>
      </w:r>
      <w:r w:rsidRPr="00257262">
        <w:rPr>
          <w:rFonts w:ascii="Arial" w:hAnsi="Arial"/>
          <w:b w:val="0"/>
        </w:rPr>
        <w:tab/>
      </w:r>
      <w:r w:rsidRPr="00257262">
        <w:rPr>
          <w:rFonts w:ascii="Arial" w:hAnsi="Arial"/>
        </w:rPr>
        <w:t>Use of Balances</w:t>
      </w:r>
    </w:p>
    <w:p w14:paraId="0C87DDD4" w14:textId="77777777" w:rsidR="00730137" w:rsidRPr="00257262" w:rsidRDefault="00730137" w:rsidP="00887E34"/>
    <w:p w14:paraId="5355BAF9" w14:textId="77777777" w:rsidR="00730137" w:rsidRDefault="005E093C" w:rsidP="00887E34">
      <w:pPr>
        <w:ind w:left="1440"/>
      </w:pPr>
      <w:r>
        <w:t xml:space="preserve">The </w:t>
      </w:r>
      <w:r w:rsidR="008570E1">
        <w:t xml:space="preserve">level of </w:t>
      </w:r>
      <w:r w:rsidR="00E9052F">
        <w:t xml:space="preserve">balances and </w:t>
      </w:r>
      <w:r w:rsidR="008570E1">
        <w:t>reserves</w:t>
      </w:r>
      <w:r>
        <w:t xml:space="preserve"> as set out at Appendix E</w:t>
      </w:r>
      <w:r w:rsidR="008570E1">
        <w:t xml:space="preserve"> be approved</w:t>
      </w:r>
      <w:r>
        <w:t>.</w:t>
      </w:r>
    </w:p>
    <w:p w14:paraId="1AF2BBB3" w14:textId="77777777" w:rsidR="004C034C" w:rsidRDefault="004C034C" w:rsidP="00887E34">
      <w:pPr>
        <w:pStyle w:val="Heading5"/>
        <w:ind w:left="720" w:firstLine="720"/>
        <w:rPr>
          <w:rFonts w:ascii="Arial" w:hAnsi="Arial"/>
        </w:rPr>
      </w:pPr>
    </w:p>
    <w:p w14:paraId="6D178250" w14:textId="77777777" w:rsidR="00730137" w:rsidRPr="001852AE" w:rsidRDefault="00730137" w:rsidP="00887E34">
      <w:pPr>
        <w:pStyle w:val="Heading5"/>
        <w:ind w:left="720" w:firstLine="720"/>
        <w:rPr>
          <w:rFonts w:ascii="Arial" w:hAnsi="Arial"/>
        </w:rPr>
      </w:pPr>
      <w:r w:rsidRPr="001852AE">
        <w:rPr>
          <w:rFonts w:ascii="Arial" w:hAnsi="Arial"/>
        </w:rPr>
        <w:t>Capital</w:t>
      </w:r>
    </w:p>
    <w:p w14:paraId="39EF316C" w14:textId="77777777" w:rsidR="00730137" w:rsidRPr="001852AE" w:rsidRDefault="00730137" w:rsidP="00887E34">
      <w:pPr>
        <w:ind w:left="1447" w:hanging="727"/>
      </w:pPr>
    </w:p>
    <w:p w14:paraId="2847C78A" w14:textId="40E0B174" w:rsidR="00730137" w:rsidRPr="00D47491" w:rsidRDefault="00730137" w:rsidP="00887E34">
      <w:pPr>
        <w:numPr>
          <w:ilvl w:val="0"/>
          <w:numId w:val="5"/>
        </w:numPr>
      </w:pPr>
      <w:r w:rsidRPr="00D47491">
        <w:t>Th</w:t>
      </w:r>
      <w:r w:rsidR="00940077">
        <w:t>e re</w:t>
      </w:r>
      <w:r w:rsidR="00E76865">
        <w:t>vised capital budget for 202</w:t>
      </w:r>
      <w:r w:rsidR="00353CF2">
        <w:t>4/25</w:t>
      </w:r>
      <w:r w:rsidRPr="00D47491">
        <w:t xml:space="preserve"> and the capital budget for </w:t>
      </w:r>
      <w:r w:rsidR="00E76865">
        <w:t>202</w:t>
      </w:r>
      <w:r w:rsidR="00353CF2">
        <w:t>5/26</w:t>
      </w:r>
      <w:r w:rsidR="00BA4B40">
        <w:t xml:space="preserve"> </w:t>
      </w:r>
      <w:r w:rsidRPr="00D47491">
        <w:t>set out at Appendix D be approved.</w:t>
      </w:r>
    </w:p>
    <w:p w14:paraId="64BEC1A9" w14:textId="77777777" w:rsidR="00730137" w:rsidRPr="001852AE" w:rsidRDefault="00730137" w:rsidP="00887E34"/>
    <w:p w14:paraId="05186A02" w14:textId="77777777" w:rsidR="00730137" w:rsidRPr="001852AE" w:rsidRDefault="00730137" w:rsidP="00887E34">
      <w:pPr>
        <w:ind w:left="1440"/>
        <w:rPr>
          <w:b/>
        </w:rPr>
      </w:pPr>
      <w:r w:rsidRPr="001852AE">
        <w:rPr>
          <w:b/>
        </w:rPr>
        <w:t>Section 25 Report</w:t>
      </w:r>
    </w:p>
    <w:p w14:paraId="14A77AA3" w14:textId="77777777" w:rsidR="00730137" w:rsidRPr="001852AE" w:rsidRDefault="00730137" w:rsidP="00887E34">
      <w:pPr>
        <w:ind w:left="1440"/>
      </w:pPr>
    </w:p>
    <w:p w14:paraId="7818839F" w14:textId="77777777" w:rsidR="00730137" w:rsidRPr="001852AE" w:rsidRDefault="00730137" w:rsidP="00887E34">
      <w:pPr>
        <w:ind w:left="1440" w:hanging="720"/>
      </w:pPr>
      <w:r>
        <w:t>ix)</w:t>
      </w:r>
      <w:r>
        <w:tab/>
      </w:r>
      <w:r w:rsidRPr="001852AE">
        <w:t xml:space="preserve">The </w:t>
      </w:r>
      <w:r w:rsidR="008570E1">
        <w:t xml:space="preserve">Chief Finance Officer’s </w:t>
      </w:r>
      <w:r w:rsidRPr="001852AE">
        <w:t>report on the robustness of estimates and adequacy of reserves be accepted.</w:t>
      </w:r>
    </w:p>
    <w:p w14:paraId="5F7E64BE" w14:textId="77777777" w:rsidR="00730137" w:rsidRPr="001852AE" w:rsidRDefault="00730137" w:rsidP="00887E34">
      <w:pPr>
        <w:pStyle w:val="PlainText"/>
        <w:ind w:firstLine="720"/>
        <w:rPr>
          <w:rFonts w:ascii="Arial" w:hAnsi="Arial"/>
          <w:sz w:val="24"/>
        </w:rPr>
      </w:pPr>
    </w:p>
    <w:p w14:paraId="0EEBC224" w14:textId="77777777" w:rsidR="00730137" w:rsidRPr="001852AE" w:rsidRDefault="00730137" w:rsidP="00887E34">
      <w:pPr>
        <w:pStyle w:val="PlainText"/>
        <w:ind w:left="720" w:firstLine="720"/>
        <w:rPr>
          <w:rFonts w:ascii="Arial" w:hAnsi="Arial"/>
          <w:b/>
          <w:sz w:val="24"/>
        </w:rPr>
      </w:pPr>
      <w:r w:rsidRPr="001852AE">
        <w:rPr>
          <w:rFonts w:ascii="Arial" w:hAnsi="Arial"/>
          <w:b/>
          <w:sz w:val="24"/>
        </w:rPr>
        <w:t>Earmarked Reserves</w:t>
      </w:r>
    </w:p>
    <w:p w14:paraId="05838EE3" w14:textId="77777777" w:rsidR="00730137" w:rsidRPr="001852AE" w:rsidRDefault="00730137" w:rsidP="00887E34">
      <w:pPr>
        <w:pStyle w:val="PlainText"/>
        <w:rPr>
          <w:rFonts w:ascii="Arial" w:hAnsi="Arial"/>
          <w:sz w:val="24"/>
        </w:rPr>
      </w:pPr>
    </w:p>
    <w:p w14:paraId="230D4999" w14:textId="77777777" w:rsidR="00730137" w:rsidRPr="001852AE" w:rsidRDefault="00730137" w:rsidP="00887E34">
      <w:r w:rsidRPr="001852AE">
        <w:lastRenderedPageBreak/>
        <w:tab/>
        <w:t>x)</w:t>
      </w:r>
      <w:r w:rsidRPr="001852AE">
        <w:tab/>
        <w:t xml:space="preserve">The protocol for earmarked reserves </w:t>
      </w:r>
      <w:r w:rsidRPr="003579CA">
        <w:t>at Appendix G</w:t>
      </w:r>
      <w:r w:rsidRPr="001852AE">
        <w:t xml:space="preserve"> be approved</w:t>
      </w:r>
      <w:r w:rsidR="00703DA9">
        <w:t>.</w:t>
      </w:r>
    </w:p>
    <w:p w14:paraId="4FCD2FB9" w14:textId="77777777" w:rsidR="00730137" w:rsidRDefault="00730137" w:rsidP="00887E34">
      <w:pPr>
        <w:rPr>
          <w:b/>
        </w:rPr>
      </w:pPr>
    </w:p>
    <w:p w14:paraId="0DACAE71" w14:textId="77777777" w:rsidR="004C034C" w:rsidRDefault="004C034C">
      <w:pPr>
        <w:rPr>
          <w:b/>
        </w:rPr>
      </w:pPr>
      <w:r>
        <w:rPr>
          <w:b/>
        </w:rPr>
        <w:br w:type="page"/>
      </w:r>
    </w:p>
    <w:p w14:paraId="34ACDD8C" w14:textId="77777777" w:rsidR="00461CA2" w:rsidRPr="00035F04" w:rsidRDefault="00E7750C" w:rsidP="00887E34">
      <w:pPr>
        <w:ind w:left="720" w:hanging="720"/>
        <w:rPr>
          <w:b/>
          <w:szCs w:val="22"/>
        </w:rPr>
      </w:pPr>
      <w:r w:rsidRPr="00035F04">
        <w:rPr>
          <w:b/>
          <w:szCs w:val="22"/>
        </w:rPr>
        <w:lastRenderedPageBreak/>
        <w:t>3.</w:t>
      </w:r>
      <w:r w:rsidRPr="00035F04">
        <w:rPr>
          <w:b/>
          <w:szCs w:val="22"/>
        </w:rPr>
        <w:tab/>
      </w:r>
      <w:r w:rsidR="00461CA2" w:rsidRPr="00035F04">
        <w:rPr>
          <w:b/>
          <w:szCs w:val="22"/>
        </w:rPr>
        <w:t>STATUTORY REQUIREMENTS</w:t>
      </w:r>
    </w:p>
    <w:p w14:paraId="66BC1C0C" w14:textId="77777777" w:rsidR="00461CA2" w:rsidRPr="00035F04" w:rsidRDefault="00461CA2" w:rsidP="00887E34">
      <w:pPr>
        <w:ind w:left="720" w:hanging="720"/>
        <w:rPr>
          <w:b/>
          <w:szCs w:val="22"/>
        </w:rPr>
      </w:pPr>
    </w:p>
    <w:p w14:paraId="598CF08B" w14:textId="47C16F5A" w:rsidR="00461CA2" w:rsidRPr="00035F04" w:rsidRDefault="009E52CA" w:rsidP="00887E34">
      <w:pPr>
        <w:ind w:left="720" w:hanging="720"/>
        <w:rPr>
          <w:szCs w:val="22"/>
        </w:rPr>
      </w:pPr>
      <w:r w:rsidRPr="00035F04">
        <w:rPr>
          <w:szCs w:val="22"/>
        </w:rPr>
        <w:t>3.</w:t>
      </w:r>
      <w:r w:rsidR="00E7750C" w:rsidRPr="00035F04">
        <w:rPr>
          <w:szCs w:val="22"/>
        </w:rPr>
        <w:t>1</w:t>
      </w:r>
      <w:r w:rsidRPr="00035F04">
        <w:rPr>
          <w:szCs w:val="22"/>
        </w:rPr>
        <w:tab/>
      </w:r>
      <w:r w:rsidR="00AB592D" w:rsidRPr="00035F04">
        <w:rPr>
          <w:szCs w:val="22"/>
        </w:rPr>
        <w:t xml:space="preserve">The </w:t>
      </w:r>
      <w:r w:rsidR="00A11780">
        <w:rPr>
          <w:szCs w:val="22"/>
        </w:rPr>
        <w:t>Mayor</w:t>
      </w:r>
      <w:r w:rsidR="00461CA2" w:rsidRPr="00035F04">
        <w:rPr>
          <w:szCs w:val="22"/>
        </w:rPr>
        <w:t xml:space="preserve"> is required by the </w:t>
      </w:r>
      <w:r w:rsidR="00461CA2" w:rsidRPr="00DE7321">
        <w:rPr>
          <w:szCs w:val="22"/>
        </w:rPr>
        <w:t xml:space="preserve">Local Government Finance Act 1992 as amended by the Localism Act 2011 to set a Council Tax Requirement and issue a Precept for the following financial year prior to 1 March.  </w:t>
      </w:r>
      <w:r w:rsidR="00461CA2" w:rsidRPr="00035F04">
        <w:rPr>
          <w:szCs w:val="22"/>
        </w:rPr>
        <w:t xml:space="preserve">In setting a Council Tax Requirement, </w:t>
      </w:r>
      <w:r w:rsidR="00AB592D" w:rsidRPr="00035F04">
        <w:rPr>
          <w:szCs w:val="22"/>
        </w:rPr>
        <w:t xml:space="preserve">the </w:t>
      </w:r>
      <w:r w:rsidR="00A11780">
        <w:rPr>
          <w:szCs w:val="22"/>
        </w:rPr>
        <w:t>Mayor</w:t>
      </w:r>
      <w:r w:rsidR="00461CA2" w:rsidRPr="00035F04">
        <w:rPr>
          <w:szCs w:val="22"/>
        </w:rPr>
        <w:t xml:space="preserve"> must calculate and agree the aggregate of revenue expenditure, contingency provision and level of reserves.</w:t>
      </w:r>
    </w:p>
    <w:p w14:paraId="0EF4EBD3" w14:textId="77777777" w:rsidR="00461CA2" w:rsidRPr="00035F04" w:rsidRDefault="00461CA2" w:rsidP="00887E34">
      <w:pPr>
        <w:ind w:hanging="540"/>
        <w:rPr>
          <w:szCs w:val="22"/>
        </w:rPr>
      </w:pPr>
    </w:p>
    <w:p w14:paraId="6507C3A2" w14:textId="7C65EA93" w:rsidR="00461CA2" w:rsidRPr="00035F04" w:rsidRDefault="00E7750C" w:rsidP="00887E34">
      <w:pPr>
        <w:ind w:left="720" w:hanging="720"/>
        <w:rPr>
          <w:szCs w:val="22"/>
        </w:rPr>
      </w:pPr>
      <w:r w:rsidRPr="00035F04">
        <w:rPr>
          <w:szCs w:val="22"/>
        </w:rPr>
        <w:t>3.2</w:t>
      </w:r>
      <w:r w:rsidR="009E52CA" w:rsidRPr="00035F04">
        <w:rPr>
          <w:szCs w:val="22"/>
        </w:rPr>
        <w:tab/>
      </w:r>
      <w:r w:rsidR="00461CA2" w:rsidRPr="00035F04">
        <w:rPr>
          <w:szCs w:val="22"/>
        </w:rPr>
        <w:t xml:space="preserve">The Council Tax Requirement, which for the </w:t>
      </w:r>
      <w:r w:rsidR="00A11780">
        <w:rPr>
          <w:szCs w:val="22"/>
        </w:rPr>
        <w:t>Mayor</w:t>
      </w:r>
      <w:r w:rsidR="00461CA2" w:rsidRPr="00035F04">
        <w:rPr>
          <w:szCs w:val="22"/>
        </w:rPr>
        <w:t xml:space="preserve"> is identical to the Precept, is calculated by deducting the sum of </w:t>
      </w:r>
      <w:r w:rsidR="00AB592D" w:rsidRPr="00035F04">
        <w:rPr>
          <w:szCs w:val="22"/>
        </w:rPr>
        <w:t xml:space="preserve">Formula Funding </w:t>
      </w:r>
      <w:r w:rsidR="00461CA2" w:rsidRPr="00035F04">
        <w:rPr>
          <w:szCs w:val="22"/>
        </w:rPr>
        <w:t xml:space="preserve">Grant including any addition to or contribution from reserves and after </w:t>
      </w:r>
      <w:r w:rsidR="002E39B7" w:rsidRPr="00035F04">
        <w:rPr>
          <w:szCs w:val="22"/>
        </w:rPr>
        <w:t>taking account of any surplus or</w:t>
      </w:r>
      <w:r w:rsidR="00461CA2" w:rsidRPr="00035F04">
        <w:rPr>
          <w:szCs w:val="22"/>
        </w:rPr>
        <w:t xml:space="preserve"> deficit on the Billing Authorities’ Collection Funds.</w:t>
      </w:r>
    </w:p>
    <w:p w14:paraId="75E910B7" w14:textId="77777777" w:rsidR="00461CA2" w:rsidRPr="00035F04" w:rsidRDefault="00461CA2" w:rsidP="00887E34">
      <w:pPr>
        <w:ind w:hanging="540"/>
        <w:rPr>
          <w:szCs w:val="22"/>
        </w:rPr>
      </w:pPr>
    </w:p>
    <w:p w14:paraId="093327C8" w14:textId="1C0C98C5" w:rsidR="00461CA2" w:rsidRPr="00035F04" w:rsidRDefault="00E7750C" w:rsidP="00887E34">
      <w:pPr>
        <w:ind w:left="720" w:hanging="720"/>
        <w:rPr>
          <w:szCs w:val="22"/>
        </w:rPr>
      </w:pPr>
      <w:r w:rsidRPr="00035F04">
        <w:rPr>
          <w:szCs w:val="22"/>
        </w:rPr>
        <w:t>3.3</w:t>
      </w:r>
      <w:r w:rsidR="00B51BC1" w:rsidRPr="00035F04">
        <w:rPr>
          <w:szCs w:val="22"/>
        </w:rPr>
        <w:tab/>
      </w:r>
      <w:r w:rsidR="00461CA2" w:rsidRPr="00035F04">
        <w:rPr>
          <w:szCs w:val="22"/>
        </w:rPr>
        <w:t xml:space="preserve">The Precept may only be issued following the conclusion of the scrutiny process by the </w:t>
      </w:r>
      <w:smartTag w:uri="urn:schemas-microsoft-com:office:smarttags" w:element="PersonName">
        <w:r w:rsidR="00461CA2" w:rsidRPr="00035F04">
          <w:rPr>
            <w:szCs w:val="22"/>
          </w:rPr>
          <w:t>West Yorkshire Police</w:t>
        </w:r>
      </w:smartTag>
      <w:r w:rsidR="00461CA2" w:rsidRPr="00035F04">
        <w:rPr>
          <w:szCs w:val="22"/>
        </w:rPr>
        <w:t xml:space="preserve"> and Crime Panel.  </w:t>
      </w:r>
      <w:r w:rsidR="00AB592D" w:rsidRPr="00035F04">
        <w:t xml:space="preserve">The </w:t>
      </w:r>
      <w:r w:rsidR="004D6839">
        <w:t>Mayor</w:t>
      </w:r>
      <w:r w:rsidR="00461CA2" w:rsidRPr="00035F04">
        <w:t xml:space="preserve"> </w:t>
      </w:r>
      <w:r w:rsidR="00887E34">
        <w:t>was required under Schedule 5 of</w:t>
      </w:r>
      <w:r w:rsidR="00461CA2" w:rsidRPr="00035F04">
        <w:t xml:space="preserve"> the Police Reform and Social Responsibility Act 2011 and associated regulations to notify t</w:t>
      </w:r>
      <w:r w:rsidR="00887E34">
        <w:t>he Police and Crime Panel of the</w:t>
      </w:r>
      <w:r w:rsidR="00461CA2" w:rsidRPr="00035F04">
        <w:t xml:space="preserve"> proposed precept for </w:t>
      </w:r>
      <w:r w:rsidR="00E76865">
        <w:t>202</w:t>
      </w:r>
      <w:r w:rsidR="00862B36">
        <w:t>5/26</w:t>
      </w:r>
      <w:r w:rsidR="00BA4B40">
        <w:t xml:space="preserve"> </w:t>
      </w:r>
      <w:r w:rsidR="00AB592D" w:rsidRPr="00035F04">
        <w:t xml:space="preserve">by 1 February </w:t>
      </w:r>
      <w:r w:rsidR="00E76865">
        <w:t>202</w:t>
      </w:r>
      <w:r w:rsidR="00862B36">
        <w:t>5</w:t>
      </w:r>
      <w:r w:rsidR="00461CA2" w:rsidRPr="00035F04">
        <w:t>.</w:t>
      </w:r>
    </w:p>
    <w:p w14:paraId="0A89DB55" w14:textId="77777777" w:rsidR="00461CA2" w:rsidRPr="00035F04" w:rsidRDefault="00461CA2" w:rsidP="00887E34">
      <w:pPr>
        <w:ind w:left="720" w:hanging="720"/>
        <w:rPr>
          <w:b/>
          <w:sz w:val="20"/>
        </w:rPr>
      </w:pPr>
    </w:p>
    <w:p w14:paraId="65AFFDC7" w14:textId="127E97AC" w:rsidR="00461CA2" w:rsidRPr="00035F04" w:rsidRDefault="00E7750C" w:rsidP="00887E34">
      <w:pPr>
        <w:ind w:left="720" w:hanging="720"/>
      </w:pPr>
      <w:r w:rsidRPr="00035F04">
        <w:t>3.4</w:t>
      </w:r>
      <w:r w:rsidR="00B51BC1" w:rsidRPr="00035F04">
        <w:tab/>
      </w:r>
      <w:r w:rsidR="00461CA2" w:rsidRPr="00035F04">
        <w:t>The Panel must review the proposed precept by 8 February and m</w:t>
      </w:r>
      <w:r w:rsidR="00AB592D" w:rsidRPr="00035F04">
        <w:t xml:space="preserve">ake a report to the </w:t>
      </w:r>
      <w:r w:rsidR="00A859DD">
        <w:t>Mayor</w:t>
      </w:r>
      <w:r w:rsidR="00461CA2" w:rsidRPr="00035F04">
        <w:t>.  The Panel has a right to veto the proposed precept if at least two thirds of the persons who are members of the Panel at the time when the decision is made vote in favour of making that decision.</w:t>
      </w:r>
    </w:p>
    <w:p w14:paraId="2BA7BA73" w14:textId="77777777" w:rsidR="00461CA2" w:rsidRPr="00035F04" w:rsidRDefault="00461CA2" w:rsidP="00887E34">
      <w:pPr>
        <w:ind w:left="720" w:hanging="720"/>
        <w:rPr>
          <w:b/>
          <w:sz w:val="20"/>
        </w:rPr>
      </w:pPr>
    </w:p>
    <w:p w14:paraId="5CA88A9E" w14:textId="0F523A86" w:rsidR="00461CA2" w:rsidRPr="00035F04" w:rsidRDefault="00E7750C" w:rsidP="00887E34">
      <w:pPr>
        <w:ind w:left="720" w:hanging="720"/>
      </w:pPr>
      <w:r w:rsidRPr="00035F04">
        <w:t>3.5</w:t>
      </w:r>
      <w:r w:rsidR="00B51BC1" w:rsidRPr="00035F04">
        <w:tab/>
      </w:r>
      <w:r w:rsidR="00AB592D" w:rsidRPr="00035F04">
        <w:t xml:space="preserve">The </w:t>
      </w:r>
      <w:r w:rsidR="00A859DD">
        <w:t>Mayor</w:t>
      </w:r>
      <w:r w:rsidR="00461CA2" w:rsidRPr="00035F04">
        <w:t xml:space="preserve"> must have regard to and give the Panel a response to their report.  Where no ve</w:t>
      </w:r>
      <w:r w:rsidR="00AB592D" w:rsidRPr="00035F04">
        <w:t xml:space="preserve">to is exercised the </w:t>
      </w:r>
      <w:r w:rsidR="00A859DD">
        <w:t xml:space="preserve">Mayor </w:t>
      </w:r>
      <w:r w:rsidR="00461CA2" w:rsidRPr="00035F04">
        <w:t>may issue t</w:t>
      </w:r>
      <w:r w:rsidR="00AB592D" w:rsidRPr="00035F04">
        <w:t xml:space="preserve">he precept.  If the </w:t>
      </w:r>
      <w:r w:rsidR="00A859DD">
        <w:t>Mayor</w:t>
      </w:r>
      <w:r w:rsidR="00461CA2" w:rsidRPr="00035F04">
        <w:t>’s proposal is vetoed by the Panel, a revised proposal must be notified to the Panel by 15 February.</w:t>
      </w:r>
    </w:p>
    <w:p w14:paraId="48DABC1F" w14:textId="77777777" w:rsidR="00461CA2" w:rsidRPr="00035F04" w:rsidRDefault="00461CA2" w:rsidP="00887E34">
      <w:pPr>
        <w:ind w:left="720" w:hanging="720"/>
        <w:rPr>
          <w:b/>
          <w:sz w:val="20"/>
        </w:rPr>
      </w:pPr>
    </w:p>
    <w:p w14:paraId="0A6FBA3F" w14:textId="7464E0C4" w:rsidR="00461CA2" w:rsidRPr="00035F04" w:rsidRDefault="00E7750C" w:rsidP="00887E34">
      <w:pPr>
        <w:ind w:left="720" w:hanging="720"/>
      </w:pPr>
      <w:r w:rsidRPr="00035F04">
        <w:t>3.6</w:t>
      </w:r>
      <w:r w:rsidR="00B51BC1" w:rsidRPr="00035F04">
        <w:tab/>
      </w:r>
      <w:r w:rsidR="00461CA2" w:rsidRPr="00035F04">
        <w:t>The Panel must review the revised proposal and m</w:t>
      </w:r>
      <w:r w:rsidR="00AB592D" w:rsidRPr="00035F04">
        <w:t xml:space="preserve">ake a report to the </w:t>
      </w:r>
      <w:r w:rsidR="00A859DD">
        <w:t>Mayor</w:t>
      </w:r>
      <w:r w:rsidR="00461CA2" w:rsidRPr="00035F04">
        <w:t xml:space="preserve"> </w:t>
      </w:r>
      <w:r w:rsidR="00AB592D" w:rsidRPr="00035F04">
        <w:t xml:space="preserve">by 22 February. The </w:t>
      </w:r>
      <w:r w:rsidR="00A859DD">
        <w:t>Mayor</w:t>
      </w:r>
      <w:r w:rsidR="00461CA2" w:rsidRPr="00035F04">
        <w:t xml:space="preserve"> must respond to the report and issue h</w:t>
      </w:r>
      <w:r w:rsidR="00A859DD">
        <w:t>er</w:t>
      </w:r>
      <w:r w:rsidR="00461CA2" w:rsidRPr="00035F04">
        <w:t xml:space="preserve"> precept by 1 March.</w:t>
      </w:r>
    </w:p>
    <w:p w14:paraId="7B48B336" w14:textId="77777777" w:rsidR="00461CA2" w:rsidRPr="00035F04" w:rsidRDefault="00461CA2" w:rsidP="00887E34">
      <w:pPr>
        <w:ind w:left="720" w:hanging="720"/>
        <w:rPr>
          <w:b/>
          <w:sz w:val="20"/>
        </w:rPr>
      </w:pPr>
    </w:p>
    <w:p w14:paraId="2F1024E4" w14:textId="0B21E8A7" w:rsidR="00B51BC1" w:rsidRDefault="00E7750C" w:rsidP="00887E34">
      <w:pPr>
        <w:ind w:left="720" w:hanging="720"/>
      </w:pPr>
      <w:r w:rsidRPr="00035F04">
        <w:t>3.7</w:t>
      </w:r>
      <w:r w:rsidR="00B51BC1" w:rsidRPr="00035F04">
        <w:tab/>
      </w:r>
      <w:r w:rsidR="00461CA2" w:rsidRPr="00035F04">
        <w:t>Rejection by the Panel of the revised precept does not prevent th</w:t>
      </w:r>
      <w:r w:rsidR="005C5830" w:rsidRPr="00035F04">
        <w:t xml:space="preserve">e </w:t>
      </w:r>
      <w:r w:rsidR="00A859DD">
        <w:t>Mayor</w:t>
      </w:r>
      <w:r w:rsidR="005C5830" w:rsidRPr="00035F04">
        <w:t xml:space="preserve"> issuing it as h</w:t>
      </w:r>
      <w:r w:rsidR="00A859DD">
        <w:t>er</w:t>
      </w:r>
      <w:r w:rsidR="00461CA2" w:rsidRPr="00035F04">
        <w:t xml:space="preserve"> precept for the forthcoming financial year.</w:t>
      </w:r>
    </w:p>
    <w:p w14:paraId="1964057D" w14:textId="77777777" w:rsidR="00F11DB0" w:rsidRPr="00035F04" w:rsidRDefault="00F11DB0" w:rsidP="00887E34">
      <w:pPr>
        <w:ind w:left="720" w:hanging="720"/>
      </w:pPr>
    </w:p>
    <w:p w14:paraId="2D334AE7" w14:textId="3B959EB2" w:rsidR="00461CA2" w:rsidRDefault="00E7750C" w:rsidP="00887E34">
      <w:pPr>
        <w:ind w:left="700" w:hanging="700"/>
        <w:rPr>
          <w:iCs/>
          <w:szCs w:val="22"/>
        </w:rPr>
      </w:pPr>
      <w:r w:rsidRPr="00035F04">
        <w:t>3.8</w:t>
      </w:r>
      <w:r w:rsidR="00B51BC1" w:rsidRPr="00035F04">
        <w:tab/>
      </w:r>
      <w:r w:rsidR="00461CA2" w:rsidRPr="00035F04">
        <w:rPr>
          <w:iCs/>
          <w:szCs w:val="22"/>
        </w:rPr>
        <w:t xml:space="preserve">The Local Government Act 2003 places a duty on the </w:t>
      </w:r>
      <w:r w:rsidR="00A859DD">
        <w:rPr>
          <w:iCs/>
          <w:szCs w:val="22"/>
        </w:rPr>
        <w:t>Mayor</w:t>
      </w:r>
      <w:r w:rsidR="00461CA2" w:rsidRPr="00035F04">
        <w:rPr>
          <w:iCs/>
          <w:szCs w:val="22"/>
        </w:rPr>
        <w:t>’s Chief Finance Officer to make a report to h</w:t>
      </w:r>
      <w:r w:rsidR="00A859DD">
        <w:rPr>
          <w:iCs/>
          <w:szCs w:val="22"/>
        </w:rPr>
        <w:t>er</w:t>
      </w:r>
      <w:r w:rsidR="00461CA2" w:rsidRPr="00035F04">
        <w:rPr>
          <w:iCs/>
          <w:szCs w:val="22"/>
        </w:rPr>
        <w:t xml:space="preserve"> on the robustness of the estimates and the adequacy of the reserves, and this is included later in this paper.</w:t>
      </w:r>
    </w:p>
    <w:p w14:paraId="23CD4621" w14:textId="77777777" w:rsidR="009A4C42" w:rsidRPr="00B51BC1" w:rsidRDefault="009A4C42" w:rsidP="00887E34">
      <w:pPr>
        <w:ind w:left="700" w:hanging="700"/>
      </w:pPr>
    </w:p>
    <w:p w14:paraId="15081B09" w14:textId="77777777" w:rsidR="00D70E18" w:rsidRPr="00B51BC1" w:rsidRDefault="00D70E18" w:rsidP="00887E34">
      <w:pPr>
        <w:rPr>
          <w:iCs/>
          <w:sz w:val="20"/>
          <w:szCs w:val="22"/>
        </w:rPr>
      </w:pPr>
    </w:p>
    <w:p w14:paraId="7301E0D6" w14:textId="58076DDF" w:rsidR="00D70E18" w:rsidRDefault="00E7750C" w:rsidP="00887E34">
      <w:pPr>
        <w:ind w:left="720" w:hanging="720"/>
        <w:rPr>
          <w:b/>
          <w:iCs/>
          <w:szCs w:val="22"/>
        </w:rPr>
      </w:pPr>
      <w:r>
        <w:rPr>
          <w:b/>
          <w:iCs/>
          <w:szCs w:val="22"/>
        </w:rPr>
        <w:t>4.</w:t>
      </w:r>
      <w:r>
        <w:rPr>
          <w:b/>
          <w:iCs/>
          <w:szCs w:val="22"/>
        </w:rPr>
        <w:tab/>
      </w:r>
      <w:r w:rsidR="007E3A3A">
        <w:rPr>
          <w:b/>
          <w:iCs/>
          <w:szCs w:val="22"/>
        </w:rPr>
        <w:t>FORECAST OUTTURN 202</w:t>
      </w:r>
      <w:r w:rsidR="00110164">
        <w:rPr>
          <w:b/>
          <w:iCs/>
          <w:szCs w:val="22"/>
        </w:rPr>
        <w:t>4/25</w:t>
      </w:r>
    </w:p>
    <w:p w14:paraId="2A1B7744" w14:textId="77777777" w:rsidR="007E610C" w:rsidRPr="00B51BC1" w:rsidRDefault="007E610C" w:rsidP="00887E34">
      <w:pPr>
        <w:ind w:left="720" w:hanging="720"/>
        <w:rPr>
          <w:iCs/>
          <w:sz w:val="20"/>
          <w:szCs w:val="22"/>
        </w:rPr>
      </w:pPr>
    </w:p>
    <w:p w14:paraId="7ABB398D" w14:textId="0DD24E80" w:rsidR="007E610C" w:rsidRDefault="00A859DD" w:rsidP="00887E34">
      <w:pPr>
        <w:ind w:left="720"/>
        <w:rPr>
          <w:b/>
          <w:iCs/>
          <w:szCs w:val="22"/>
        </w:rPr>
      </w:pPr>
      <w:r>
        <w:rPr>
          <w:b/>
          <w:iCs/>
          <w:szCs w:val="22"/>
        </w:rPr>
        <w:t>Mayor</w:t>
      </w:r>
      <w:r w:rsidR="007E610C">
        <w:rPr>
          <w:b/>
          <w:iCs/>
          <w:szCs w:val="22"/>
        </w:rPr>
        <w:t>’s budget</w:t>
      </w:r>
    </w:p>
    <w:p w14:paraId="7B9BCBDB" w14:textId="77777777" w:rsidR="00B51BC1" w:rsidRPr="00B51BC1" w:rsidRDefault="00B51BC1" w:rsidP="00887E34">
      <w:pPr>
        <w:ind w:left="720" w:hanging="720"/>
        <w:rPr>
          <w:iCs/>
          <w:sz w:val="20"/>
          <w:szCs w:val="22"/>
        </w:rPr>
      </w:pPr>
    </w:p>
    <w:p w14:paraId="42FB104B" w14:textId="77777777" w:rsidR="002A5CB5" w:rsidRPr="002A5CB5" w:rsidRDefault="00E7750C" w:rsidP="002A5CB5">
      <w:pPr>
        <w:ind w:left="720" w:hanging="720"/>
        <w:rPr>
          <w:iCs/>
          <w:szCs w:val="22"/>
        </w:rPr>
      </w:pPr>
      <w:r>
        <w:rPr>
          <w:iCs/>
          <w:szCs w:val="22"/>
        </w:rPr>
        <w:t>4.1</w:t>
      </w:r>
      <w:r w:rsidR="00B51BC1">
        <w:rPr>
          <w:iCs/>
          <w:szCs w:val="22"/>
        </w:rPr>
        <w:tab/>
      </w:r>
      <w:r w:rsidR="002A5CB5" w:rsidRPr="002A5CB5">
        <w:rPr>
          <w:iCs/>
          <w:szCs w:val="22"/>
        </w:rPr>
        <w:t>The latest forecast outturn for the Mayor’s Police and Crime Team shows a small</w:t>
      </w:r>
    </w:p>
    <w:p w14:paraId="34ACD8B3" w14:textId="77777777" w:rsidR="002A5CB5" w:rsidRPr="002A5CB5" w:rsidRDefault="002A5CB5" w:rsidP="002A5CB5">
      <w:pPr>
        <w:ind w:left="720"/>
        <w:rPr>
          <w:iCs/>
          <w:szCs w:val="22"/>
        </w:rPr>
      </w:pPr>
      <w:r w:rsidRPr="002A5CB5">
        <w:rPr>
          <w:iCs/>
          <w:szCs w:val="22"/>
        </w:rPr>
        <w:t xml:space="preserve">saving against the original budget which will be carried forward to offset any </w:t>
      </w:r>
    </w:p>
    <w:p w14:paraId="22E897A8" w14:textId="6E7416FE" w:rsidR="005E093C" w:rsidRDefault="002A5CB5" w:rsidP="002A5CB5">
      <w:pPr>
        <w:ind w:left="720"/>
        <w:rPr>
          <w:iCs/>
          <w:szCs w:val="22"/>
        </w:rPr>
      </w:pPr>
      <w:r w:rsidRPr="002A5CB5">
        <w:rPr>
          <w:iCs/>
          <w:szCs w:val="22"/>
        </w:rPr>
        <w:t>increases in 202</w:t>
      </w:r>
      <w:r>
        <w:rPr>
          <w:iCs/>
          <w:szCs w:val="22"/>
        </w:rPr>
        <w:t>5</w:t>
      </w:r>
      <w:r w:rsidRPr="002A5CB5">
        <w:rPr>
          <w:iCs/>
          <w:szCs w:val="22"/>
        </w:rPr>
        <w:t>/2</w:t>
      </w:r>
      <w:r>
        <w:rPr>
          <w:iCs/>
          <w:szCs w:val="22"/>
        </w:rPr>
        <w:t>6</w:t>
      </w:r>
      <w:r w:rsidRPr="002A5CB5">
        <w:rPr>
          <w:iCs/>
          <w:szCs w:val="22"/>
        </w:rPr>
        <w:t>.</w:t>
      </w:r>
      <w:r w:rsidR="00091674">
        <w:rPr>
          <w:iCs/>
          <w:szCs w:val="22"/>
        </w:rPr>
        <w:t xml:space="preserve">  </w:t>
      </w:r>
    </w:p>
    <w:p w14:paraId="500ECEB0" w14:textId="77777777" w:rsidR="00AA3466" w:rsidRPr="00B51BC1" w:rsidRDefault="00AA3466" w:rsidP="00887E34">
      <w:pPr>
        <w:ind w:left="100" w:hanging="100"/>
        <w:rPr>
          <w:iCs/>
          <w:sz w:val="20"/>
          <w:szCs w:val="22"/>
        </w:rPr>
      </w:pPr>
    </w:p>
    <w:p w14:paraId="631C1ACA" w14:textId="77777777" w:rsidR="007E610C" w:rsidRDefault="00EA320C" w:rsidP="00887E34">
      <w:pPr>
        <w:ind w:left="720"/>
        <w:rPr>
          <w:b/>
          <w:iCs/>
          <w:szCs w:val="22"/>
        </w:rPr>
      </w:pPr>
      <w:r>
        <w:rPr>
          <w:b/>
          <w:iCs/>
          <w:szCs w:val="22"/>
        </w:rPr>
        <w:t>West Yorkshire Police Delegated</w:t>
      </w:r>
      <w:r w:rsidR="007E610C">
        <w:rPr>
          <w:b/>
          <w:iCs/>
          <w:szCs w:val="22"/>
        </w:rPr>
        <w:t xml:space="preserve"> </w:t>
      </w:r>
      <w:r>
        <w:rPr>
          <w:b/>
          <w:iCs/>
          <w:szCs w:val="22"/>
        </w:rPr>
        <w:t>B</w:t>
      </w:r>
      <w:r w:rsidR="007E610C">
        <w:rPr>
          <w:b/>
          <w:iCs/>
          <w:szCs w:val="22"/>
        </w:rPr>
        <w:t>udget</w:t>
      </w:r>
    </w:p>
    <w:p w14:paraId="483CA3F4" w14:textId="77777777" w:rsidR="00B51BC1" w:rsidRPr="00B51BC1" w:rsidRDefault="00B51BC1" w:rsidP="00887E34">
      <w:pPr>
        <w:ind w:left="100" w:hanging="100"/>
        <w:rPr>
          <w:iCs/>
          <w:sz w:val="20"/>
          <w:szCs w:val="22"/>
        </w:rPr>
      </w:pPr>
    </w:p>
    <w:p w14:paraId="2751EC68" w14:textId="5F32A7DF" w:rsidR="00727F7B" w:rsidRPr="006B1A6C" w:rsidRDefault="00E7750C" w:rsidP="006B1A6C">
      <w:pPr>
        <w:ind w:left="720" w:hanging="720"/>
        <w:rPr>
          <w:b/>
        </w:rPr>
      </w:pPr>
      <w:r w:rsidRPr="006F57A0">
        <w:rPr>
          <w:iCs/>
          <w:szCs w:val="22"/>
        </w:rPr>
        <w:t>4.2.</w:t>
      </w:r>
      <w:r w:rsidRPr="006F57A0">
        <w:rPr>
          <w:iCs/>
          <w:szCs w:val="22"/>
        </w:rPr>
        <w:tab/>
      </w:r>
      <w:r w:rsidRPr="00301BB2">
        <w:t>The latest budget monitoring repo</w:t>
      </w:r>
      <w:r w:rsidR="007E3A3A">
        <w:t>rt covers the period 1 April 202</w:t>
      </w:r>
      <w:r w:rsidR="008C4F60">
        <w:t>4</w:t>
      </w:r>
      <w:r w:rsidRPr="00301BB2">
        <w:t xml:space="preserve"> to 3</w:t>
      </w:r>
      <w:r w:rsidR="00EF2752" w:rsidRPr="00301BB2">
        <w:t xml:space="preserve">1 </w:t>
      </w:r>
      <w:r w:rsidR="006B1A6C">
        <w:t>December</w:t>
      </w:r>
      <w:r w:rsidR="007E3A3A">
        <w:t xml:space="preserve"> 202</w:t>
      </w:r>
      <w:r w:rsidR="008C4F60">
        <w:t>4</w:t>
      </w:r>
      <w:r w:rsidRPr="00301BB2">
        <w:t xml:space="preserve">. </w:t>
      </w:r>
      <w:r w:rsidR="00A707FC">
        <w:t>The West Yorkshire Police net revenue budget for 202</w:t>
      </w:r>
      <w:r w:rsidR="008C4F60">
        <w:t>4/</w:t>
      </w:r>
      <w:r w:rsidR="008C4F60" w:rsidRPr="006518B5">
        <w:t>25</w:t>
      </w:r>
      <w:r w:rsidRPr="006518B5">
        <w:t xml:space="preserve"> is £</w:t>
      </w:r>
      <w:r w:rsidR="007E1122" w:rsidRPr="006518B5">
        <w:rPr>
          <w:rFonts w:eastAsiaTheme="majorEastAsia"/>
          <w:lang w:val="en-AU"/>
        </w:rPr>
        <w:t>576</w:t>
      </w:r>
      <w:r w:rsidR="00B9483B" w:rsidRPr="006518B5">
        <w:rPr>
          <w:rFonts w:eastAsiaTheme="majorEastAsia"/>
          <w:lang w:val="en-AU"/>
        </w:rPr>
        <w:t>.620</w:t>
      </w:r>
      <w:r w:rsidR="00301BB2" w:rsidRPr="006518B5">
        <w:rPr>
          <w:rFonts w:eastAsiaTheme="majorEastAsia"/>
          <w:lang w:val="en-AU"/>
        </w:rPr>
        <w:t>m</w:t>
      </w:r>
      <w:r w:rsidR="00601ACF" w:rsidRPr="006518B5">
        <w:t>.</w:t>
      </w:r>
      <w:r w:rsidRPr="003928D8">
        <w:t xml:space="preserve"> At </w:t>
      </w:r>
      <w:r w:rsidR="007E3A3A" w:rsidRPr="003928D8">
        <w:t xml:space="preserve">31 </w:t>
      </w:r>
      <w:r w:rsidR="006B1A6C">
        <w:t>December</w:t>
      </w:r>
      <w:r w:rsidR="007E3A3A" w:rsidRPr="003928D8">
        <w:t xml:space="preserve"> 202</w:t>
      </w:r>
      <w:r w:rsidR="008C4F60">
        <w:t>4</w:t>
      </w:r>
      <w:r w:rsidRPr="003928D8">
        <w:t xml:space="preserve"> </w:t>
      </w:r>
      <w:r w:rsidR="000A2445" w:rsidRPr="003928D8">
        <w:t xml:space="preserve">there </w:t>
      </w:r>
      <w:r w:rsidR="00301BB2" w:rsidRPr="003928D8">
        <w:t>was a</w:t>
      </w:r>
      <w:r w:rsidR="005C151E" w:rsidRPr="003928D8">
        <w:t xml:space="preserve"> </w:t>
      </w:r>
      <w:r w:rsidR="003928D8" w:rsidRPr="003928D8">
        <w:t xml:space="preserve">forecast </w:t>
      </w:r>
      <w:r w:rsidR="00B9483B">
        <w:t>outturn of £0.7m underspend</w:t>
      </w:r>
      <w:r w:rsidRPr="00A707FC">
        <w:t>.</w:t>
      </w:r>
      <w:r w:rsidR="00C404B7" w:rsidRPr="003928D8">
        <w:t xml:space="preserve"> </w:t>
      </w:r>
    </w:p>
    <w:p w14:paraId="0CE71FA3" w14:textId="77777777" w:rsidR="00E7750C" w:rsidRPr="00A9720C" w:rsidRDefault="00727F7B" w:rsidP="00887E34">
      <w:pPr>
        <w:rPr>
          <w:highlight w:val="yellow"/>
        </w:rPr>
      </w:pPr>
      <w:r w:rsidRPr="00EC3355">
        <w:rPr>
          <w:highlight w:val="yellow"/>
        </w:rPr>
        <w:t xml:space="preserve"> </w:t>
      </w:r>
    </w:p>
    <w:p w14:paraId="19B55921" w14:textId="373F94C6" w:rsidR="00E7750C" w:rsidRPr="00301BB2" w:rsidRDefault="00301BB2" w:rsidP="00887E34">
      <w:pPr>
        <w:ind w:left="720" w:hanging="720"/>
        <w:rPr>
          <w:b/>
        </w:rPr>
      </w:pPr>
      <w:r w:rsidRPr="00301BB2">
        <w:lastRenderedPageBreak/>
        <w:t>4.</w:t>
      </w:r>
      <w:r w:rsidR="006B1A6C">
        <w:t>3</w:t>
      </w:r>
      <w:r w:rsidR="00E7750C" w:rsidRPr="00301BB2">
        <w:t>.</w:t>
      </w:r>
      <w:r w:rsidR="00E7750C" w:rsidRPr="00301BB2">
        <w:tab/>
        <w:t xml:space="preserve">Tight financial management continues </w:t>
      </w:r>
      <w:r w:rsidR="00A707FC" w:rsidRPr="00301BB2">
        <w:t>to</w:t>
      </w:r>
      <w:r w:rsidR="00E7750C" w:rsidRPr="00301BB2">
        <w:t xml:space="preserve"> ensure that </w:t>
      </w:r>
      <w:r w:rsidRPr="00301BB2">
        <w:t xml:space="preserve">where possible </w:t>
      </w:r>
      <w:r w:rsidR="007E3A3A">
        <w:t>any underspend can be transferred to specific reserves and the general reserve</w:t>
      </w:r>
      <w:r w:rsidRPr="00301BB2">
        <w:t xml:space="preserve"> to negate the impact </w:t>
      </w:r>
      <w:r w:rsidR="007E3A3A">
        <w:t>of the challenging funding position</w:t>
      </w:r>
      <w:r w:rsidR="006B1A6C">
        <w:t xml:space="preserve"> in future years</w:t>
      </w:r>
      <w:r w:rsidR="00E7750C" w:rsidRPr="00301BB2">
        <w:t xml:space="preserve">.  </w:t>
      </w:r>
    </w:p>
    <w:p w14:paraId="5D290135" w14:textId="77777777" w:rsidR="00E7750C" w:rsidRPr="00D2023C" w:rsidRDefault="00E7750C" w:rsidP="00887E34">
      <w:pPr>
        <w:rPr>
          <w:b/>
        </w:rPr>
      </w:pPr>
      <w:r w:rsidRPr="00D2023C">
        <w:tab/>
      </w:r>
    </w:p>
    <w:p w14:paraId="09202D44" w14:textId="6DD9BDE6" w:rsidR="00E7750C" w:rsidRDefault="00301BB2" w:rsidP="00887E34">
      <w:pPr>
        <w:ind w:left="720" w:hanging="720"/>
        <w:rPr>
          <w:b/>
        </w:rPr>
      </w:pPr>
      <w:r w:rsidRPr="00D2023C">
        <w:t>4.</w:t>
      </w:r>
      <w:r w:rsidR="006B1A6C">
        <w:t>4</w:t>
      </w:r>
      <w:r w:rsidR="00E7750C" w:rsidRPr="00D2023C">
        <w:t>.</w:t>
      </w:r>
      <w:r w:rsidR="00E7750C" w:rsidRPr="00D2023C">
        <w:tab/>
      </w:r>
      <w:r w:rsidR="00E7750C" w:rsidRPr="00426E1D">
        <w:t xml:space="preserve">The Capital Budget </w:t>
      </w:r>
      <w:r w:rsidR="007E3A3A" w:rsidRPr="00426E1D">
        <w:t>202</w:t>
      </w:r>
      <w:r w:rsidR="00BB0D67">
        <w:t>4/25</w:t>
      </w:r>
      <w:r w:rsidR="00E7750C" w:rsidRPr="00426E1D">
        <w:t xml:space="preserve"> at 3</w:t>
      </w:r>
      <w:r w:rsidR="006F57A0" w:rsidRPr="00426E1D">
        <w:t xml:space="preserve">1 </w:t>
      </w:r>
      <w:r w:rsidR="006B1A6C" w:rsidRPr="00426E1D">
        <w:t>December</w:t>
      </w:r>
      <w:r w:rsidRPr="00426E1D">
        <w:t xml:space="preserve"> 202</w:t>
      </w:r>
      <w:r w:rsidR="00BB0D67">
        <w:t>4</w:t>
      </w:r>
      <w:r w:rsidR="00E7750C" w:rsidRPr="00426E1D">
        <w:t>, excluding the National</w:t>
      </w:r>
      <w:r w:rsidR="00816D77" w:rsidRPr="00426E1D">
        <w:t xml:space="preserve"> Police Air Service (NPAS), is </w:t>
      </w:r>
      <w:r w:rsidR="00816D77" w:rsidRPr="002E4DFE">
        <w:t>£</w:t>
      </w:r>
      <w:r w:rsidR="001445D3" w:rsidRPr="002E4DFE">
        <w:t>49</w:t>
      </w:r>
      <w:r w:rsidR="00874724" w:rsidRPr="002E4DFE">
        <w:t>.5m.</w:t>
      </w:r>
      <w:r w:rsidR="00E7750C" w:rsidRPr="002E4DFE">
        <w:t xml:space="preserve"> Expenditure as at </w:t>
      </w:r>
      <w:r w:rsidR="00816D77" w:rsidRPr="002E4DFE">
        <w:t xml:space="preserve">31 </w:t>
      </w:r>
      <w:r w:rsidR="006B1A6C" w:rsidRPr="002E4DFE">
        <w:t>December</w:t>
      </w:r>
      <w:r w:rsidR="007E3A3A" w:rsidRPr="002E4DFE">
        <w:t xml:space="preserve"> 202</w:t>
      </w:r>
      <w:r w:rsidR="00BB0D67" w:rsidRPr="002E4DFE">
        <w:t>4</w:t>
      </w:r>
      <w:r w:rsidR="006F57A0" w:rsidRPr="002E4DFE">
        <w:t xml:space="preserve"> </w:t>
      </w:r>
      <w:r w:rsidR="00E7750C" w:rsidRPr="002E4DFE">
        <w:t>was £</w:t>
      </w:r>
      <w:r w:rsidR="00874724" w:rsidRPr="002E4DFE">
        <w:t>26.5</w:t>
      </w:r>
      <w:r w:rsidR="00D760B8" w:rsidRPr="002E4DFE">
        <w:t>m</w:t>
      </w:r>
      <w:r w:rsidR="00F8004D" w:rsidRPr="002E4DFE">
        <w:t>,</w:t>
      </w:r>
      <w:r w:rsidR="00F8004D">
        <w:t xml:space="preserve"> it is anticipated that this will increase significantly by the end of the financial year.</w:t>
      </w:r>
    </w:p>
    <w:p w14:paraId="32754978" w14:textId="77777777" w:rsidR="00AA3466" w:rsidRPr="00B51BC1" w:rsidRDefault="00AA3466" w:rsidP="00887E34">
      <w:pPr>
        <w:ind w:left="100" w:hanging="100"/>
        <w:rPr>
          <w:iCs/>
          <w:sz w:val="20"/>
          <w:szCs w:val="22"/>
        </w:rPr>
      </w:pPr>
    </w:p>
    <w:p w14:paraId="58904A2C" w14:textId="7CFC1419" w:rsidR="007E610C" w:rsidRDefault="00E7750C" w:rsidP="00887E34">
      <w:pPr>
        <w:rPr>
          <w:b/>
          <w:iCs/>
          <w:szCs w:val="22"/>
        </w:rPr>
      </w:pPr>
      <w:r>
        <w:rPr>
          <w:b/>
          <w:iCs/>
          <w:szCs w:val="22"/>
        </w:rPr>
        <w:t>5.</w:t>
      </w:r>
      <w:r>
        <w:rPr>
          <w:b/>
          <w:iCs/>
          <w:szCs w:val="22"/>
        </w:rPr>
        <w:tab/>
      </w:r>
      <w:r w:rsidR="005C5830">
        <w:rPr>
          <w:b/>
          <w:iCs/>
          <w:szCs w:val="22"/>
        </w:rPr>
        <w:t>REVENUE RES</w:t>
      </w:r>
      <w:r>
        <w:rPr>
          <w:b/>
          <w:iCs/>
          <w:szCs w:val="22"/>
        </w:rPr>
        <w:t xml:space="preserve">OURCES </w:t>
      </w:r>
      <w:r w:rsidR="0040539F">
        <w:rPr>
          <w:b/>
          <w:iCs/>
          <w:szCs w:val="22"/>
        </w:rPr>
        <w:t>202</w:t>
      </w:r>
      <w:r w:rsidR="00BB0D67">
        <w:rPr>
          <w:b/>
          <w:iCs/>
          <w:szCs w:val="22"/>
        </w:rPr>
        <w:t>5/26</w:t>
      </w:r>
    </w:p>
    <w:p w14:paraId="327A6210" w14:textId="77777777" w:rsidR="005C5830" w:rsidRPr="00D70E18" w:rsidRDefault="005C5830" w:rsidP="00887E34">
      <w:pPr>
        <w:rPr>
          <w:b/>
          <w:iCs/>
          <w:szCs w:val="22"/>
        </w:rPr>
      </w:pPr>
    </w:p>
    <w:p w14:paraId="1C10BEC1" w14:textId="131F613E" w:rsidR="00461CA2" w:rsidRDefault="00E7750C" w:rsidP="00887E34">
      <w:pPr>
        <w:ind w:left="720"/>
        <w:rPr>
          <w:b/>
          <w:iCs/>
          <w:szCs w:val="22"/>
        </w:rPr>
      </w:pPr>
      <w:r>
        <w:rPr>
          <w:b/>
          <w:iCs/>
          <w:szCs w:val="22"/>
        </w:rPr>
        <w:t xml:space="preserve">Police Grant Settlement </w:t>
      </w:r>
      <w:r w:rsidR="0040539F">
        <w:rPr>
          <w:b/>
          <w:iCs/>
          <w:szCs w:val="22"/>
        </w:rPr>
        <w:t>202</w:t>
      </w:r>
      <w:r w:rsidR="00BB0D67">
        <w:rPr>
          <w:b/>
          <w:iCs/>
          <w:szCs w:val="22"/>
        </w:rPr>
        <w:t>5/26</w:t>
      </w:r>
    </w:p>
    <w:p w14:paraId="4972BBC4" w14:textId="77777777" w:rsidR="00B51BC1" w:rsidRDefault="00B51BC1" w:rsidP="00887E34">
      <w:pPr>
        <w:ind w:left="720" w:hanging="720"/>
        <w:rPr>
          <w:b/>
          <w:iCs/>
          <w:szCs w:val="22"/>
        </w:rPr>
      </w:pPr>
    </w:p>
    <w:p w14:paraId="762BF747" w14:textId="77777777" w:rsidR="00455AD7" w:rsidRPr="00455AD7" w:rsidRDefault="00E7750C" w:rsidP="00455AD7">
      <w:pPr>
        <w:ind w:left="720" w:hanging="720"/>
        <w:rPr>
          <w:lang w:val="en-US"/>
        </w:rPr>
      </w:pPr>
      <w:r>
        <w:t>5.1</w:t>
      </w:r>
      <w:r>
        <w:tab/>
      </w:r>
      <w:r w:rsidR="00455AD7" w:rsidRPr="00455AD7">
        <w:rPr>
          <w:lang w:val="en-US"/>
        </w:rPr>
        <w:t>The provisional 2025/26 Police Finance Settlement was announced on 17</w:t>
      </w:r>
      <w:r w:rsidR="00455AD7" w:rsidRPr="00455AD7">
        <w:rPr>
          <w:vertAlign w:val="superscript"/>
          <w:lang w:val="en-US"/>
        </w:rPr>
        <w:t>th</w:t>
      </w:r>
      <w:r w:rsidR="00455AD7" w:rsidRPr="00455AD7">
        <w:rPr>
          <w:lang w:val="en-US"/>
        </w:rPr>
        <w:t xml:space="preserve"> December 2024 in a written statement by Dame Diana Johnson, Minister for Crime, Policing and Fire. The settlement was broadly in line with our overall expectations and assumptions that had been built into the Medium Term Financial Forecast. </w:t>
      </w:r>
    </w:p>
    <w:p w14:paraId="0FBA5602" w14:textId="77777777" w:rsidR="00455AD7" w:rsidRPr="00455AD7" w:rsidRDefault="00455AD7" w:rsidP="00455AD7">
      <w:pPr>
        <w:ind w:left="720" w:hanging="720"/>
      </w:pPr>
    </w:p>
    <w:p w14:paraId="7A823DE6" w14:textId="77777777" w:rsidR="00455AD7" w:rsidRPr="00455AD7" w:rsidRDefault="00455AD7" w:rsidP="006B678F">
      <w:pPr>
        <w:ind w:left="720"/>
      </w:pPr>
      <w:r w:rsidRPr="00455AD7">
        <w:t>In advance of the settlement, the Government announced that Police and Crime Commissioners (PCCs) (and therefore Mayors in exercising PCC Functions), would be able to raise their council tax precepts by up to £14 (for Band D) for one year only. This equates to an annual increase for the lowest of 4.3% for (Surrey PCC) and 7.7% for the highest (Northumbria PCC). In West Yorkshire, this would represent 5.6% based on a £14 Band D increase. West Yorkshire remains as the area with the fourth lowest Police Band D level in England and Wales.</w:t>
      </w:r>
    </w:p>
    <w:p w14:paraId="718DA314" w14:textId="77777777" w:rsidR="00455AD7" w:rsidRPr="00455AD7" w:rsidRDefault="00455AD7" w:rsidP="00455AD7">
      <w:pPr>
        <w:ind w:left="720" w:hanging="720"/>
        <w:rPr>
          <w:lang w:val="en-US"/>
        </w:rPr>
      </w:pPr>
    </w:p>
    <w:p w14:paraId="61B6204A" w14:textId="77777777" w:rsidR="00455AD7" w:rsidRPr="00455AD7" w:rsidRDefault="00455AD7" w:rsidP="006B678F">
      <w:pPr>
        <w:ind w:left="720" w:hanging="11"/>
        <w:rPr>
          <w:lang w:val="en-US"/>
        </w:rPr>
      </w:pPr>
      <w:r w:rsidRPr="00455AD7">
        <w:rPr>
          <w:lang w:val="en-US"/>
        </w:rPr>
        <w:t>The key points to note from the settlement are:</w:t>
      </w:r>
    </w:p>
    <w:p w14:paraId="230191A0" w14:textId="77777777" w:rsidR="00455AD7" w:rsidRPr="00455AD7" w:rsidRDefault="00455AD7" w:rsidP="00455AD7">
      <w:pPr>
        <w:ind w:left="720" w:hanging="720"/>
        <w:rPr>
          <w:lang w:val="en-US"/>
        </w:rPr>
      </w:pPr>
    </w:p>
    <w:p w14:paraId="0E3C5955" w14:textId="77777777" w:rsidR="00455AD7" w:rsidRPr="00455AD7" w:rsidRDefault="00455AD7" w:rsidP="00455AD7">
      <w:pPr>
        <w:numPr>
          <w:ilvl w:val="0"/>
          <w:numId w:val="28"/>
        </w:numPr>
        <w:tabs>
          <w:tab w:val="clear" w:pos="1069"/>
          <w:tab w:val="num" w:pos="1080"/>
        </w:tabs>
      </w:pPr>
      <w:r w:rsidRPr="00455AD7">
        <w:t>The Police Main Grant now includes baseline funding for the 2024 Police Pay Award, plus 18% of the Police Uplift Programme Grant, with the remaining 82% still ringfenced. Combined, this is broadly in line with our assumptions built into the MTFF.</w:t>
      </w:r>
    </w:p>
    <w:p w14:paraId="3C3BB9D1" w14:textId="77777777" w:rsidR="00455AD7" w:rsidRPr="00455AD7" w:rsidRDefault="00455AD7" w:rsidP="00455AD7">
      <w:pPr>
        <w:numPr>
          <w:ilvl w:val="0"/>
          <w:numId w:val="28"/>
        </w:numPr>
        <w:tabs>
          <w:tab w:val="clear" w:pos="1069"/>
          <w:tab w:val="num" w:pos="1080"/>
        </w:tabs>
      </w:pPr>
      <w:r w:rsidRPr="00455AD7">
        <w:t>Funding has been provided to offset the impact of increased cost of National Insurance, with employers rate rising to 15%, and the threshold decreasing from £9,100 to £5,000. There is further clarification required from the Home Office with regard to how the figures was calculated in order for us to assess the impact on our regional and national functions and therefore the overall impact on West Yorkshire Police.</w:t>
      </w:r>
    </w:p>
    <w:p w14:paraId="5A5459A5" w14:textId="77777777" w:rsidR="00455AD7" w:rsidRPr="00455AD7" w:rsidRDefault="00455AD7" w:rsidP="00455AD7">
      <w:pPr>
        <w:numPr>
          <w:ilvl w:val="0"/>
          <w:numId w:val="28"/>
        </w:numPr>
        <w:tabs>
          <w:tab w:val="clear" w:pos="1069"/>
          <w:tab w:val="num" w:pos="1080"/>
        </w:tabs>
      </w:pPr>
      <w:r w:rsidRPr="00455AD7">
        <w:t>The additional Uplift Grant for the 100 plus 43 officers is slightly favourable in terms of pay, however does not include an allocation for the non-pay requirements for uplift.</w:t>
      </w:r>
    </w:p>
    <w:p w14:paraId="70FFFD29" w14:textId="77777777" w:rsidR="00455AD7" w:rsidRPr="00455AD7" w:rsidRDefault="00455AD7" w:rsidP="00455AD7">
      <w:pPr>
        <w:numPr>
          <w:ilvl w:val="0"/>
          <w:numId w:val="28"/>
        </w:numPr>
        <w:tabs>
          <w:tab w:val="clear" w:pos="1069"/>
          <w:tab w:val="num" w:pos="1080"/>
        </w:tabs>
      </w:pPr>
      <w:r w:rsidRPr="00455AD7">
        <w:t>Increase in Band D Council Tax maximum increase on the Band D equivalent is £14</w:t>
      </w:r>
    </w:p>
    <w:p w14:paraId="279FEF27" w14:textId="77777777" w:rsidR="00455AD7" w:rsidRPr="00455AD7" w:rsidRDefault="00455AD7" w:rsidP="00455AD7">
      <w:pPr>
        <w:ind w:left="720" w:hanging="720"/>
        <w:rPr>
          <w:lang w:val="en-US"/>
        </w:rPr>
      </w:pPr>
    </w:p>
    <w:p w14:paraId="3DA67C51" w14:textId="77777777" w:rsidR="00455AD7" w:rsidRPr="00455AD7" w:rsidRDefault="00455AD7" w:rsidP="00455AD7">
      <w:pPr>
        <w:numPr>
          <w:ilvl w:val="0"/>
          <w:numId w:val="28"/>
        </w:numPr>
        <w:tabs>
          <w:tab w:val="clear" w:pos="1069"/>
          <w:tab w:val="num" w:pos="1080"/>
        </w:tabs>
        <w:rPr>
          <w:lang w:val="en-US"/>
        </w:rPr>
      </w:pPr>
      <w:r w:rsidRPr="00455AD7">
        <w:rPr>
          <w:lang w:val="en-US"/>
        </w:rPr>
        <w:t>Capping criteria was set so that all Police and Crime Commissioners and Mayors with PCC Function responsibilities are able to increase the band D equivalent charge by up to £14 a year without triggering a local referendum and this has been assumed in the overall Government headline figure for Policing. West Yorkshire is the 4</w:t>
      </w:r>
      <w:r w:rsidRPr="00455AD7">
        <w:rPr>
          <w:vertAlign w:val="superscript"/>
          <w:lang w:val="en-US"/>
        </w:rPr>
        <w:t>th</w:t>
      </w:r>
      <w:r w:rsidRPr="00455AD7">
        <w:rPr>
          <w:lang w:val="en-US"/>
        </w:rPr>
        <w:t xml:space="preserve"> lowest Police Council Tax in England and Wales.  </w:t>
      </w:r>
    </w:p>
    <w:p w14:paraId="32B9E6C9" w14:textId="36FBFE67" w:rsidR="00764589" w:rsidRDefault="00764589" w:rsidP="00455AD7">
      <w:pPr>
        <w:ind w:left="720" w:hanging="720"/>
        <w:rPr>
          <w:b/>
        </w:rPr>
      </w:pPr>
    </w:p>
    <w:p w14:paraId="1A47B368" w14:textId="77777777" w:rsidR="00DF4BE7" w:rsidRPr="00C16D95" w:rsidRDefault="00DF4BE7" w:rsidP="00887E34">
      <w:pPr>
        <w:ind w:firstLine="720"/>
        <w:rPr>
          <w:b/>
        </w:rPr>
      </w:pPr>
      <w:r w:rsidRPr="00C16D95">
        <w:rPr>
          <w:b/>
        </w:rPr>
        <w:t>Funding</w:t>
      </w:r>
    </w:p>
    <w:p w14:paraId="4BBA67A2" w14:textId="77777777" w:rsidR="00DF4BE7" w:rsidRPr="001271C2" w:rsidRDefault="00DF4BE7" w:rsidP="00887E34">
      <w:pPr>
        <w:rPr>
          <w:b/>
          <w:highlight w:val="yellow"/>
        </w:rPr>
      </w:pPr>
    </w:p>
    <w:p w14:paraId="49269D4C" w14:textId="77777777" w:rsidR="00343189" w:rsidRDefault="004F4406" w:rsidP="00343189">
      <w:pPr>
        <w:rPr>
          <w:b/>
        </w:rPr>
      </w:pPr>
      <w:r>
        <w:t>5.</w:t>
      </w:r>
      <w:r w:rsidR="00601ACF">
        <w:t>2</w:t>
      </w:r>
      <w:r w:rsidR="00DF4BE7" w:rsidRPr="00C16D95">
        <w:tab/>
      </w:r>
      <w:r w:rsidR="00343189" w:rsidRPr="005D718D">
        <w:rPr>
          <w:b/>
        </w:rPr>
        <w:t>Core Funding</w:t>
      </w:r>
    </w:p>
    <w:p w14:paraId="63535B08" w14:textId="77777777" w:rsidR="00941F06" w:rsidRDefault="00941F06" w:rsidP="00343189">
      <w:pPr>
        <w:rPr>
          <w:b/>
        </w:rPr>
      </w:pPr>
    </w:p>
    <w:tbl>
      <w:tblPr>
        <w:tblW w:w="0" w:type="auto"/>
        <w:tblInd w:w="696" w:type="dxa"/>
        <w:tblLook w:val="04A0" w:firstRow="1" w:lastRow="0" w:firstColumn="1" w:lastColumn="0" w:noHBand="0" w:noVBand="1"/>
      </w:tblPr>
      <w:tblGrid>
        <w:gridCol w:w="2816"/>
        <w:gridCol w:w="1084"/>
        <w:gridCol w:w="1084"/>
      </w:tblGrid>
      <w:tr w:rsidR="00941F06" w:rsidRPr="00941F06" w14:paraId="616468F9" w14:textId="77777777" w:rsidTr="00941F06">
        <w:trPr>
          <w:trHeight w:val="309"/>
        </w:trPr>
        <w:tc>
          <w:tcPr>
            <w:tcW w:w="0" w:type="auto"/>
            <w:vMerge w:val="restart"/>
            <w:tcBorders>
              <w:top w:val="single" w:sz="8" w:space="0" w:color="4BACC6"/>
              <w:left w:val="single" w:sz="8" w:space="0" w:color="4BACC6"/>
              <w:bottom w:val="single" w:sz="8" w:space="0" w:color="4BACC6"/>
              <w:right w:val="single" w:sz="8" w:space="0" w:color="4BACC6"/>
            </w:tcBorders>
            <w:shd w:val="clear" w:color="auto" w:fill="4BACC6"/>
            <w:vAlign w:val="center"/>
            <w:hideMark/>
          </w:tcPr>
          <w:p w14:paraId="6EEDC190" w14:textId="77777777" w:rsidR="00941F06" w:rsidRPr="00941F06" w:rsidRDefault="00941F06" w:rsidP="00941F06">
            <w:pPr>
              <w:rPr>
                <w:b/>
              </w:rPr>
            </w:pPr>
            <w:r w:rsidRPr="00941F06">
              <w:rPr>
                <w:b/>
              </w:rPr>
              <w:lastRenderedPageBreak/>
              <w:t> </w:t>
            </w:r>
          </w:p>
        </w:tc>
        <w:tc>
          <w:tcPr>
            <w:tcW w:w="1084" w:type="dxa"/>
            <w:tcBorders>
              <w:top w:val="single" w:sz="8" w:space="0" w:color="4BACC6"/>
              <w:left w:val="nil"/>
              <w:bottom w:val="nil"/>
              <w:right w:val="nil"/>
            </w:tcBorders>
            <w:shd w:val="clear" w:color="auto" w:fill="4BACC6"/>
            <w:hideMark/>
          </w:tcPr>
          <w:p w14:paraId="3227A993" w14:textId="77777777" w:rsidR="00941F06" w:rsidRPr="00941F06" w:rsidRDefault="00941F06" w:rsidP="00941F06">
            <w:pPr>
              <w:rPr>
                <w:b/>
                <w:bCs/>
              </w:rPr>
            </w:pPr>
            <w:r w:rsidRPr="00941F06">
              <w:rPr>
                <w:b/>
                <w:bCs/>
              </w:rPr>
              <w:t>2025/26</w:t>
            </w:r>
          </w:p>
        </w:tc>
        <w:tc>
          <w:tcPr>
            <w:tcW w:w="1084" w:type="dxa"/>
            <w:tcBorders>
              <w:top w:val="single" w:sz="8" w:space="0" w:color="4BACC6"/>
              <w:left w:val="nil"/>
              <w:bottom w:val="nil"/>
              <w:right w:val="single" w:sz="8" w:space="0" w:color="4BACC6"/>
            </w:tcBorders>
            <w:shd w:val="clear" w:color="auto" w:fill="4BACC6"/>
            <w:vAlign w:val="center"/>
            <w:hideMark/>
          </w:tcPr>
          <w:p w14:paraId="36A13469" w14:textId="77777777" w:rsidR="00941F06" w:rsidRPr="00941F06" w:rsidRDefault="00941F06" w:rsidP="00941F06">
            <w:pPr>
              <w:rPr>
                <w:b/>
                <w:bCs/>
              </w:rPr>
            </w:pPr>
            <w:r w:rsidRPr="00941F06">
              <w:rPr>
                <w:b/>
                <w:bCs/>
              </w:rPr>
              <w:t>2024/25</w:t>
            </w:r>
          </w:p>
        </w:tc>
      </w:tr>
      <w:tr w:rsidR="00941F06" w:rsidRPr="00941F06" w14:paraId="0D5150AC" w14:textId="77777777" w:rsidTr="00941F06">
        <w:trPr>
          <w:trHeight w:val="318"/>
        </w:trPr>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641C0793" w14:textId="77777777" w:rsidR="00941F06" w:rsidRPr="00941F06" w:rsidRDefault="00941F06" w:rsidP="00941F06">
            <w:pPr>
              <w:rPr>
                <w:b/>
              </w:rPr>
            </w:pPr>
          </w:p>
        </w:tc>
        <w:tc>
          <w:tcPr>
            <w:tcW w:w="1084" w:type="dxa"/>
            <w:shd w:val="clear" w:color="auto" w:fill="4BACC6"/>
            <w:hideMark/>
          </w:tcPr>
          <w:p w14:paraId="225B7A8E" w14:textId="77777777" w:rsidR="00941F06" w:rsidRPr="00941F06" w:rsidRDefault="00941F06" w:rsidP="00941F06">
            <w:pPr>
              <w:rPr>
                <w:b/>
                <w:bCs/>
              </w:rPr>
            </w:pPr>
            <w:r w:rsidRPr="00941F06">
              <w:rPr>
                <w:b/>
                <w:bCs/>
              </w:rPr>
              <w:t>(£m)</w:t>
            </w:r>
          </w:p>
        </w:tc>
        <w:tc>
          <w:tcPr>
            <w:tcW w:w="1084" w:type="dxa"/>
            <w:tcBorders>
              <w:top w:val="nil"/>
              <w:left w:val="nil"/>
              <w:bottom w:val="nil"/>
              <w:right w:val="single" w:sz="8" w:space="0" w:color="4BACC6"/>
            </w:tcBorders>
            <w:shd w:val="clear" w:color="auto" w:fill="4BACC6"/>
            <w:vAlign w:val="center"/>
            <w:hideMark/>
          </w:tcPr>
          <w:p w14:paraId="2A795F7F" w14:textId="77777777" w:rsidR="00941F06" w:rsidRPr="00941F06" w:rsidRDefault="00941F06" w:rsidP="00941F06">
            <w:pPr>
              <w:rPr>
                <w:b/>
                <w:bCs/>
              </w:rPr>
            </w:pPr>
            <w:r w:rsidRPr="00941F06">
              <w:rPr>
                <w:b/>
                <w:bCs/>
              </w:rPr>
              <w:t>(£m)</w:t>
            </w:r>
          </w:p>
        </w:tc>
      </w:tr>
      <w:tr w:rsidR="00941F06" w:rsidRPr="00941F06" w14:paraId="476457CD" w14:textId="77777777" w:rsidTr="00941F06">
        <w:trPr>
          <w:trHeight w:val="309"/>
        </w:trPr>
        <w:tc>
          <w:tcPr>
            <w:tcW w:w="0" w:type="auto"/>
            <w:tcBorders>
              <w:top w:val="nil"/>
              <w:left w:val="single" w:sz="8" w:space="0" w:color="4BACC6"/>
              <w:bottom w:val="single" w:sz="8" w:space="0" w:color="4BACC6"/>
              <w:right w:val="nil"/>
            </w:tcBorders>
            <w:shd w:val="clear" w:color="auto" w:fill="FFFFFF"/>
            <w:vAlign w:val="center"/>
            <w:hideMark/>
          </w:tcPr>
          <w:p w14:paraId="03909F8B" w14:textId="77777777" w:rsidR="00941F06" w:rsidRPr="00941F06" w:rsidRDefault="00941F06" w:rsidP="00941F06">
            <w:pPr>
              <w:rPr>
                <w:b/>
              </w:rPr>
            </w:pPr>
            <w:r w:rsidRPr="00941F06">
              <w:rPr>
                <w:b/>
              </w:rPr>
              <w:t>Police Core Grant</w:t>
            </w:r>
          </w:p>
        </w:tc>
        <w:tc>
          <w:tcPr>
            <w:tcW w:w="1084" w:type="dxa"/>
            <w:tcBorders>
              <w:top w:val="single" w:sz="8" w:space="0" w:color="4BACC6"/>
              <w:left w:val="single" w:sz="8" w:space="0" w:color="4BACC6"/>
              <w:bottom w:val="single" w:sz="8" w:space="0" w:color="4BACC6"/>
              <w:right w:val="single" w:sz="8" w:space="0" w:color="4BACC6"/>
            </w:tcBorders>
            <w:hideMark/>
          </w:tcPr>
          <w:p w14:paraId="5E454ECB" w14:textId="77777777" w:rsidR="00941F06" w:rsidRPr="00941F06" w:rsidRDefault="00941F06" w:rsidP="00941F06">
            <w:pPr>
              <w:rPr>
                <w:b/>
              </w:rPr>
            </w:pPr>
            <w:r w:rsidRPr="00941F06">
              <w:rPr>
                <w:b/>
              </w:rPr>
              <w:t>404.1</w:t>
            </w:r>
          </w:p>
        </w:tc>
        <w:tc>
          <w:tcPr>
            <w:tcW w:w="1084" w:type="dxa"/>
            <w:tcBorders>
              <w:top w:val="single" w:sz="8" w:space="0" w:color="4BACC6"/>
              <w:left w:val="single" w:sz="8" w:space="0" w:color="4BACC6"/>
              <w:bottom w:val="single" w:sz="8" w:space="0" w:color="4BACC6"/>
              <w:right w:val="single" w:sz="8" w:space="0" w:color="4BACC6"/>
            </w:tcBorders>
            <w:vAlign w:val="center"/>
            <w:hideMark/>
          </w:tcPr>
          <w:p w14:paraId="23EC9D89" w14:textId="77777777" w:rsidR="00941F06" w:rsidRPr="00941F06" w:rsidRDefault="00941F06" w:rsidP="00941F06">
            <w:pPr>
              <w:rPr>
                <w:b/>
              </w:rPr>
            </w:pPr>
            <w:r w:rsidRPr="00941F06">
              <w:rPr>
                <w:b/>
              </w:rPr>
              <w:t>389.6</w:t>
            </w:r>
          </w:p>
        </w:tc>
      </w:tr>
      <w:tr w:rsidR="00941F06" w:rsidRPr="00941F06" w14:paraId="1206B242" w14:textId="77777777" w:rsidTr="00941F06">
        <w:trPr>
          <w:trHeight w:val="309"/>
        </w:trPr>
        <w:tc>
          <w:tcPr>
            <w:tcW w:w="0" w:type="auto"/>
            <w:tcBorders>
              <w:top w:val="single" w:sz="8" w:space="0" w:color="4BACC6"/>
              <w:left w:val="single" w:sz="8" w:space="0" w:color="4BACC6"/>
              <w:bottom w:val="single" w:sz="8" w:space="0" w:color="4BACC6"/>
              <w:right w:val="nil"/>
            </w:tcBorders>
            <w:shd w:val="clear" w:color="auto" w:fill="FFFFFF"/>
            <w:vAlign w:val="center"/>
            <w:hideMark/>
          </w:tcPr>
          <w:p w14:paraId="6F8934CD" w14:textId="77777777" w:rsidR="00941F06" w:rsidRPr="00941F06" w:rsidRDefault="00941F06" w:rsidP="00941F06">
            <w:pPr>
              <w:rPr>
                <w:b/>
              </w:rPr>
            </w:pPr>
            <w:r w:rsidRPr="00941F06">
              <w:rPr>
                <w:b/>
              </w:rPr>
              <w:t>Uplift Grant</w:t>
            </w:r>
          </w:p>
        </w:tc>
        <w:tc>
          <w:tcPr>
            <w:tcW w:w="1084" w:type="dxa"/>
            <w:tcBorders>
              <w:top w:val="single" w:sz="8" w:space="0" w:color="4BACC6"/>
              <w:left w:val="single" w:sz="8" w:space="0" w:color="4BACC6"/>
              <w:bottom w:val="single" w:sz="8" w:space="0" w:color="4BACC6"/>
              <w:right w:val="single" w:sz="8" w:space="0" w:color="4BACC6"/>
            </w:tcBorders>
            <w:hideMark/>
          </w:tcPr>
          <w:p w14:paraId="7DBB9ACC" w14:textId="77777777" w:rsidR="00941F06" w:rsidRPr="00941F06" w:rsidRDefault="00941F06" w:rsidP="00941F06">
            <w:pPr>
              <w:rPr>
                <w:b/>
              </w:rPr>
            </w:pPr>
            <w:r w:rsidRPr="00941F06">
              <w:rPr>
                <w:b/>
              </w:rPr>
              <w:t>14.9</w:t>
            </w:r>
          </w:p>
        </w:tc>
        <w:tc>
          <w:tcPr>
            <w:tcW w:w="1084" w:type="dxa"/>
            <w:tcBorders>
              <w:top w:val="single" w:sz="8" w:space="0" w:color="4BACC6"/>
              <w:left w:val="single" w:sz="8" w:space="0" w:color="4BACC6"/>
              <w:bottom w:val="single" w:sz="8" w:space="0" w:color="4BACC6"/>
              <w:right w:val="single" w:sz="8" w:space="0" w:color="4BACC6"/>
            </w:tcBorders>
            <w:vAlign w:val="center"/>
            <w:hideMark/>
          </w:tcPr>
          <w:p w14:paraId="212E8DE8" w14:textId="77777777" w:rsidR="00941F06" w:rsidRPr="00941F06" w:rsidRDefault="00941F06" w:rsidP="00941F06">
            <w:pPr>
              <w:rPr>
                <w:b/>
              </w:rPr>
            </w:pPr>
            <w:r w:rsidRPr="00941F06">
              <w:rPr>
                <w:b/>
              </w:rPr>
              <w:t>18.1</w:t>
            </w:r>
          </w:p>
        </w:tc>
      </w:tr>
      <w:tr w:rsidR="00941F06" w:rsidRPr="00941F06" w14:paraId="36B97E76" w14:textId="77777777" w:rsidTr="00941F06">
        <w:trPr>
          <w:trHeight w:val="309"/>
        </w:trPr>
        <w:tc>
          <w:tcPr>
            <w:tcW w:w="0" w:type="auto"/>
            <w:tcBorders>
              <w:top w:val="single" w:sz="8" w:space="0" w:color="4BACC6"/>
              <w:left w:val="single" w:sz="8" w:space="0" w:color="4BACC6"/>
              <w:bottom w:val="single" w:sz="8" w:space="0" w:color="4BACC6"/>
              <w:right w:val="nil"/>
            </w:tcBorders>
            <w:shd w:val="clear" w:color="auto" w:fill="FFFFFF"/>
            <w:vAlign w:val="center"/>
            <w:hideMark/>
          </w:tcPr>
          <w:p w14:paraId="25F15190" w14:textId="77777777" w:rsidR="00941F06" w:rsidRPr="00941F06" w:rsidRDefault="00941F06" w:rsidP="00941F06">
            <w:pPr>
              <w:rPr>
                <w:b/>
              </w:rPr>
            </w:pPr>
            <w:r w:rsidRPr="00941F06">
              <w:rPr>
                <w:b/>
              </w:rPr>
              <w:t>Additional uplift (143)</w:t>
            </w:r>
          </w:p>
        </w:tc>
        <w:tc>
          <w:tcPr>
            <w:tcW w:w="1084" w:type="dxa"/>
            <w:tcBorders>
              <w:top w:val="single" w:sz="8" w:space="0" w:color="4BACC6"/>
              <w:left w:val="single" w:sz="8" w:space="0" w:color="4BACC6"/>
              <w:bottom w:val="single" w:sz="8" w:space="0" w:color="4BACC6"/>
              <w:right w:val="single" w:sz="8" w:space="0" w:color="4BACC6"/>
            </w:tcBorders>
            <w:hideMark/>
          </w:tcPr>
          <w:p w14:paraId="35D2D502" w14:textId="77777777" w:rsidR="00941F06" w:rsidRPr="00941F06" w:rsidRDefault="00941F06" w:rsidP="00941F06">
            <w:pPr>
              <w:rPr>
                <w:b/>
              </w:rPr>
            </w:pPr>
            <w:r w:rsidRPr="00941F06">
              <w:rPr>
                <w:b/>
              </w:rPr>
              <w:t>7.5</w:t>
            </w:r>
          </w:p>
        </w:tc>
        <w:tc>
          <w:tcPr>
            <w:tcW w:w="1084" w:type="dxa"/>
            <w:tcBorders>
              <w:top w:val="single" w:sz="8" w:space="0" w:color="4BACC6"/>
              <w:left w:val="single" w:sz="8" w:space="0" w:color="4BACC6"/>
              <w:bottom w:val="single" w:sz="8" w:space="0" w:color="4BACC6"/>
              <w:right w:val="single" w:sz="8" w:space="0" w:color="4BACC6"/>
            </w:tcBorders>
            <w:vAlign w:val="center"/>
            <w:hideMark/>
          </w:tcPr>
          <w:p w14:paraId="74428371" w14:textId="77777777" w:rsidR="00941F06" w:rsidRPr="00941F06" w:rsidRDefault="00941F06" w:rsidP="00941F06">
            <w:pPr>
              <w:rPr>
                <w:b/>
              </w:rPr>
            </w:pPr>
            <w:r w:rsidRPr="00941F06">
              <w:rPr>
                <w:b/>
              </w:rPr>
              <w:t>4.8</w:t>
            </w:r>
          </w:p>
        </w:tc>
      </w:tr>
      <w:tr w:rsidR="00941F06" w:rsidRPr="00941F06" w14:paraId="4563E297" w14:textId="77777777" w:rsidTr="00941F06">
        <w:trPr>
          <w:trHeight w:val="309"/>
        </w:trPr>
        <w:tc>
          <w:tcPr>
            <w:tcW w:w="0" w:type="auto"/>
            <w:tcBorders>
              <w:top w:val="single" w:sz="8" w:space="0" w:color="4BACC6"/>
              <w:left w:val="single" w:sz="8" w:space="0" w:color="4BACC6"/>
              <w:bottom w:val="single" w:sz="8" w:space="0" w:color="4BACC6"/>
              <w:right w:val="nil"/>
            </w:tcBorders>
            <w:shd w:val="clear" w:color="auto" w:fill="FFFFFF"/>
            <w:vAlign w:val="center"/>
            <w:hideMark/>
          </w:tcPr>
          <w:p w14:paraId="05354AD0" w14:textId="77777777" w:rsidR="00941F06" w:rsidRPr="00941F06" w:rsidRDefault="00941F06" w:rsidP="00941F06">
            <w:pPr>
              <w:rPr>
                <w:b/>
              </w:rPr>
            </w:pPr>
            <w:r w:rsidRPr="00941F06">
              <w:rPr>
                <w:b/>
              </w:rPr>
              <w:t>NI Grant</w:t>
            </w:r>
          </w:p>
        </w:tc>
        <w:tc>
          <w:tcPr>
            <w:tcW w:w="1084" w:type="dxa"/>
            <w:tcBorders>
              <w:top w:val="single" w:sz="8" w:space="0" w:color="4BACC6"/>
              <w:left w:val="single" w:sz="8" w:space="0" w:color="4BACC6"/>
              <w:bottom w:val="single" w:sz="8" w:space="0" w:color="4BACC6"/>
              <w:right w:val="single" w:sz="8" w:space="0" w:color="4BACC6"/>
            </w:tcBorders>
            <w:hideMark/>
          </w:tcPr>
          <w:p w14:paraId="6883CE26" w14:textId="77777777" w:rsidR="00941F06" w:rsidRPr="00941F06" w:rsidRDefault="00941F06" w:rsidP="00941F06">
            <w:pPr>
              <w:rPr>
                <w:b/>
              </w:rPr>
            </w:pPr>
            <w:r w:rsidRPr="00941F06">
              <w:rPr>
                <w:b/>
              </w:rPr>
              <w:t>10.3</w:t>
            </w:r>
          </w:p>
        </w:tc>
        <w:tc>
          <w:tcPr>
            <w:tcW w:w="1084" w:type="dxa"/>
            <w:tcBorders>
              <w:top w:val="single" w:sz="8" w:space="0" w:color="4BACC6"/>
              <w:left w:val="single" w:sz="8" w:space="0" w:color="4BACC6"/>
              <w:bottom w:val="single" w:sz="8" w:space="0" w:color="4BACC6"/>
              <w:right w:val="single" w:sz="8" w:space="0" w:color="4BACC6"/>
            </w:tcBorders>
            <w:vAlign w:val="center"/>
            <w:hideMark/>
          </w:tcPr>
          <w:p w14:paraId="238877AD" w14:textId="77777777" w:rsidR="00941F06" w:rsidRPr="00941F06" w:rsidRDefault="00941F06" w:rsidP="00941F06">
            <w:pPr>
              <w:rPr>
                <w:b/>
              </w:rPr>
            </w:pPr>
            <w:r w:rsidRPr="00941F06">
              <w:rPr>
                <w:b/>
              </w:rPr>
              <w:t>n/a</w:t>
            </w:r>
          </w:p>
        </w:tc>
      </w:tr>
      <w:tr w:rsidR="00941F06" w:rsidRPr="00941F06" w14:paraId="52EA5D40" w14:textId="77777777" w:rsidTr="00941F06">
        <w:trPr>
          <w:trHeight w:val="318"/>
        </w:trPr>
        <w:tc>
          <w:tcPr>
            <w:tcW w:w="0" w:type="auto"/>
            <w:tcBorders>
              <w:top w:val="nil"/>
              <w:left w:val="single" w:sz="8" w:space="0" w:color="4BACC6"/>
              <w:bottom w:val="nil"/>
              <w:right w:val="nil"/>
            </w:tcBorders>
            <w:shd w:val="clear" w:color="auto" w:fill="FFFFFF"/>
            <w:vAlign w:val="center"/>
            <w:hideMark/>
          </w:tcPr>
          <w:p w14:paraId="23F8A448" w14:textId="77777777" w:rsidR="00941F06" w:rsidRPr="00941F06" w:rsidRDefault="00941F06" w:rsidP="00941F06">
            <w:pPr>
              <w:rPr>
                <w:b/>
              </w:rPr>
            </w:pPr>
            <w:r w:rsidRPr="00941F06">
              <w:rPr>
                <w:b/>
              </w:rPr>
              <w:t>Total Formula Funding</w:t>
            </w:r>
          </w:p>
        </w:tc>
        <w:tc>
          <w:tcPr>
            <w:tcW w:w="1084" w:type="dxa"/>
            <w:tcBorders>
              <w:top w:val="nil"/>
              <w:left w:val="single" w:sz="8" w:space="0" w:color="4BACC6"/>
              <w:bottom w:val="nil"/>
              <w:right w:val="single" w:sz="8" w:space="0" w:color="4BACC6"/>
            </w:tcBorders>
            <w:hideMark/>
          </w:tcPr>
          <w:p w14:paraId="14C32770" w14:textId="77777777" w:rsidR="00941F06" w:rsidRPr="00941F06" w:rsidRDefault="00941F06" w:rsidP="00941F06">
            <w:pPr>
              <w:rPr>
                <w:b/>
                <w:bCs/>
              </w:rPr>
            </w:pPr>
            <w:r w:rsidRPr="00941F06">
              <w:rPr>
                <w:b/>
                <w:bCs/>
              </w:rPr>
              <w:t>436.8</w:t>
            </w:r>
          </w:p>
        </w:tc>
        <w:tc>
          <w:tcPr>
            <w:tcW w:w="1084" w:type="dxa"/>
            <w:tcBorders>
              <w:top w:val="nil"/>
              <w:left w:val="single" w:sz="8" w:space="0" w:color="4BACC6"/>
              <w:bottom w:val="nil"/>
              <w:right w:val="single" w:sz="8" w:space="0" w:color="4BACC6"/>
            </w:tcBorders>
            <w:vAlign w:val="center"/>
            <w:hideMark/>
          </w:tcPr>
          <w:p w14:paraId="1DCCBFE4" w14:textId="77777777" w:rsidR="00941F06" w:rsidRPr="00941F06" w:rsidRDefault="00941F06" w:rsidP="00941F06">
            <w:pPr>
              <w:rPr>
                <w:b/>
                <w:bCs/>
              </w:rPr>
            </w:pPr>
            <w:r w:rsidRPr="00941F06">
              <w:rPr>
                <w:b/>
                <w:bCs/>
              </w:rPr>
              <w:t>412.5</w:t>
            </w:r>
          </w:p>
        </w:tc>
      </w:tr>
      <w:tr w:rsidR="00941F06" w:rsidRPr="00941F06" w14:paraId="5AF3CE03" w14:textId="77777777" w:rsidTr="00941F06">
        <w:trPr>
          <w:trHeight w:val="309"/>
        </w:trPr>
        <w:tc>
          <w:tcPr>
            <w:tcW w:w="0" w:type="auto"/>
            <w:tcBorders>
              <w:top w:val="single" w:sz="8" w:space="0" w:color="4BACC6"/>
              <w:left w:val="single" w:sz="8" w:space="0" w:color="4BACC6"/>
              <w:bottom w:val="single" w:sz="8" w:space="0" w:color="4BACC6"/>
              <w:right w:val="nil"/>
            </w:tcBorders>
            <w:shd w:val="clear" w:color="auto" w:fill="FFFFFF"/>
            <w:vAlign w:val="center"/>
            <w:hideMark/>
          </w:tcPr>
          <w:p w14:paraId="04084EC6" w14:textId="77777777" w:rsidR="00941F06" w:rsidRPr="00941F06" w:rsidRDefault="00941F06" w:rsidP="00941F06">
            <w:pPr>
              <w:rPr>
                <w:b/>
              </w:rPr>
            </w:pPr>
            <w:r w:rsidRPr="00941F06">
              <w:rPr>
                <w:b/>
              </w:rPr>
              <w:t>Pensions Grant</w:t>
            </w:r>
          </w:p>
        </w:tc>
        <w:tc>
          <w:tcPr>
            <w:tcW w:w="1084" w:type="dxa"/>
            <w:tcBorders>
              <w:top w:val="single" w:sz="8" w:space="0" w:color="4BACC6"/>
              <w:left w:val="single" w:sz="8" w:space="0" w:color="4BACC6"/>
              <w:bottom w:val="single" w:sz="8" w:space="0" w:color="4BACC6"/>
              <w:right w:val="single" w:sz="8" w:space="0" w:color="4BACC6"/>
            </w:tcBorders>
            <w:hideMark/>
          </w:tcPr>
          <w:p w14:paraId="4DC2B255" w14:textId="77777777" w:rsidR="00941F06" w:rsidRPr="00941F06" w:rsidRDefault="00941F06" w:rsidP="00941F06">
            <w:pPr>
              <w:rPr>
                <w:b/>
              </w:rPr>
            </w:pPr>
            <w:r w:rsidRPr="00941F06">
              <w:rPr>
                <w:b/>
              </w:rPr>
              <w:t>15</w:t>
            </w:r>
          </w:p>
        </w:tc>
        <w:tc>
          <w:tcPr>
            <w:tcW w:w="1084" w:type="dxa"/>
            <w:tcBorders>
              <w:top w:val="single" w:sz="8" w:space="0" w:color="4BACC6"/>
              <w:left w:val="single" w:sz="8" w:space="0" w:color="4BACC6"/>
              <w:bottom w:val="single" w:sz="8" w:space="0" w:color="4BACC6"/>
              <w:right w:val="single" w:sz="8" w:space="0" w:color="4BACC6"/>
            </w:tcBorders>
            <w:vAlign w:val="center"/>
            <w:hideMark/>
          </w:tcPr>
          <w:p w14:paraId="41404DC1" w14:textId="77777777" w:rsidR="00941F06" w:rsidRPr="00941F06" w:rsidRDefault="00941F06" w:rsidP="00941F06">
            <w:pPr>
              <w:rPr>
                <w:b/>
              </w:rPr>
            </w:pPr>
            <w:r w:rsidRPr="00941F06">
              <w:rPr>
                <w:b/>
              </w:rPr>
              <w:t>16.8</w:t>
            </w:r>
          </w:p>
        </w:tc>
      </w:tr>
      <w:tr w:rsidR="00941F06" w:rsidRPr="00941F06" w14:paraId="5FF07911" w14:textId="77777777" w:rsidTr="00941F06">
        <w:trPr>
          <w:trHeight w:val="309"/>
        </w:trPr>
        <w:tc>
          <w:tcPr>
            <w:tcW w:w="0" w:type="auto"/>
            <w:tcBorders>
              <w:top w:val="nil"/>
              <w:left w:val="single" w:sz="8" w:space="0" w:color="4BACC6"/>
              <w:bottom w:val="nil"/>
              <w:right w:val="nil"/>
            </w:tcBorders>
            <w:shd w:val="clear" w:color="auto" w:fill="FFFFFF"/>
            <w:vAlign w:val="center"/>
            <w:hideMark/>
          </w:tcPr>
          <w:p w14:paraId="56332E51" w14:textId="77777777" w:rsidR="00941F06" w:rsidRPr="00941F06" w:rsidRDefault="00941F06" w:rsidP="00941F06">
            <w:pPr>
              <w:rPr>
                <w:b/>
              </w:rPr>
            </w:pPr>
            <w:r w:rsidRPr="00941F06">
              <w:rPr>
                <w:b/>
              </w:rPr>
              <w:t>CT Freeze Grant</w:t>
            </w:r>
          </w:p>
        </w:tc>
        <w:tc>
          <w:tcPr>
            <w:tcW w:w="1084" w:type="dxa"/>
            <w:tcBorders>
              <w:top w:val="nil"/>
              <w:left w:val="single" w:sz="8" w:space="0" w:color="4BACC6"/>
              <w:bottom w:val="nil"/>
              <w:right w:val="single" w:sz="8" w:space="0" w:color="4BACC6"/>
            </w:tcBorders>
            <w:hideMark/>
          </w:tcPr>
          <w:p w14:paraId="0484C27B" w14:textId="77777777" w:rsidR="00941F06" w:rsidRPr="00941F06" w:rsidRDefault="00941F06" w:rsidP="00941F06">
            <w:pPr>
              <w:rPr>
                <w:b/>
              </w:rPr>
            </w:pPr>
            <w:r w:rsidRPr="00941F06">
              <w:rPr>
                <w:b/>
              </w:rPr>
              <w:t>16.7</w:t>
            </w:r>
          </w:p>
        </w:tc>
        <w:tc>
          <w:tcPr>
            <w:tcW w:w="1084" w:type="dxa"/>
            <w:tcBorders>
              <w:top w:val="nil"/>
              <w:left w:val="single" w:sz="8" w:space="0" w:color="4BACC6"/>
              <w:bottom w:val="nil"/>
              <w:right w:val="single" w:sz="8" w:space="0" w:color="4BACC6"/>
            </w:tcBorders>
            <w:vAlign w:val="center"/>
            <w:hideMark/>
          </w:tcPr>
          <w:p w14:paraId="74258F1E" w14:textId="77777777" w:rsidR="00941F06" w:rsidRPr="00941F06" w:rsidRDefault="00941F06" w:rsidP="00941F06">
            <w:pPr>
              <w:rPr>
                <w:b/>
              </w:rPr>
            </w:pPr>
            <w:r w:rsidRPr="00941F06">
              <w:rPr>
                <w:b/>
              </w:rPr>
              <w:t>16.7</w:t>
            </w:r>
          </w:p>
        </w:tc>
      </w:tr>
      <w:tr w:rsidR="00941F06" w:rsidRPr="00941F06" w14:paraId="5A38293D" w14:textId="77777777" w:rsidTr="00941F06">
        <w:trPr>
          <w:trHeight w:val="326"/>
        </w:trPr>
        <w:tc>
          <w:tcPr>
            <w:tcW w:w="0" w:type="auto"/>
            <w:tcBorders>
              <w:top w:val="double" w:sz="6" w:space="0" w:color="4BACC6"/>
              <w:left w:val="single" w:sz="8" w:space="0" w:color="4BACC6"/>
              <w:bottom w:val="single" w:sz="8" w:space="0" w:color="4BACC6"/>
              <w:right w:val="nil"/>
            </w:tcBorders>
            <w:shd w:val="clear" w:color="auto" w:fill="FFFFFF"/>
            <w:vAlign w:val="center"/>
            <w:hideMark/>
          </w:tcPr>
          <w:p w14:paraId="27617517" w14:textId="77777777" w:rsidR="00941F06" w:rsidRPr="00941F06" w:rsidRDefault="00941F06" w:rsidP="00941F06">
            <w:pPr>
              <w:rPr>
                <w:b/>
                <w:bCs/>
              </w:rPr>
            </w:pPr>
            <w:r w:rsidRPr="00941F06">
              <w:rPr>
                <w:b/>
                <w:bCs/>
              </w:rPr>
              <w:t>Total Central Funding</w:t>
            </w:r>
          </w:p>
        </w:tc>
        <w:tc>
          <w:tcPr>
            <w:tcW w:w="1084" w:type="dxa"/>
            <w:tcBorders>
              <w:top w:val="double" w:sz="6" w:space="0" w:color="4BACC6"/>
              <w:left w:val="single" w:sz="8" w:space="0" w:color="4BACC6"/>
              <w:bottom w:val="single" w:sz="8" w:space="0" w:color="4BACC6"/>
              <w:right w:val="single" w:sz="8" w:space="0" w:color="4BACC6"/>
            </w:tcBorders>
            <w:shd w:val="clear" w:color="auto" w:fill="FFFFFF"/>
            <w:hideMark/>
          </w:tcPr>
          <w:p w14:paraId="60D5CD1E" w14:textId="77777777" w:rsidR="00941F06" w:rsidRPr="00941F06" w:rsidRDefault="00941F06" w:rsidP="00941F06">
            <w:pPr>
              <w:rPr>
                <w:b/>
                <w:bCs/>
              </w:rPr>
            </w:pPr>
            <w:r w:rsidRPr="00941F06">
              <w:rPr>
                <w:b/>
                <w:bCs/>
              </w:rPr>
              <w:t>468.5</w:t>
            </w:r>
          </w:p>
        </w:tc>
        <w:tc>
          <w:tcPr>
            <w:tcW w:w="1084" w:type="dxa"/>
            <w:tcBorders>
              <w:top w:val="double" w:sz="6" w:space="0" w:color="4BACC6"/>
              <w:left w:val="single" w:sz="8" w:space="0" w:color="4BACC6"/>
              <w:bottom w:val="single" w:sz="8" w:space="0" w:color="4BACC6"/>
              <w:right w:val="single" w:sz="8" w:space="0" w:color="4BACC6"/>
            </w:tcBorders>
            <w:shd w:val="clear" w:color="auto" w:fill="FFFFFF"/>
            <w:vAlign w:val="center"/>
            <w:hideMark/>
          </w:tcPr>
          <w:p w14:paraId="052AE8F8" w14:textId="77777777" w:rsidR="00941F06" w:rsidRPr="00941F06" w:rsidRDefault="00941F06" w:rsidP="00941F06">
            <w:pPr>
              <w:rPr>
                <w:b/>
                <w:bCs/>
              </w:rPr>
            </w:pPr>
            <w:r w:rsidRPr="00941F06">
              <w:rPr>
                <w:b/>
                <w:bCs/>
              </w:rPr>
              <w:t>446.0</w:t>
            </w:r>
          </w:p>
        </w:tc>
      </w:tr>
    </w:tbl>
    <w:p w14:paraId="5D15DBBA" w14:textId="77777777" w:rsidR="00941F06" w:rsidRPr="005D718D" w:rsidRDefault="00941F06" w:rsidP="00343189">
      <w:pPr>
        <w:rPr>
          <w:b/>
        </w:rPr>
      </w:pPr>
    </w:p>
    <w:p w14:paraId="696D5894" w14:textId="77777777" w:rsidR="00343189" w:rsidRPr="00254116" w:rsidRDefault="00343189" w:rsidP="00343189">
      <w:pPr>
        <w:rPr>
          <w:b/>
          <w:sz w:val="20"/>
          <w:highlight w:val="yellow"/>
        </w:rPr>
      </w:pPr>
    </w:p>
    <w:p w14:paraId="49629031" w14:textId="77777777" w:rsidR="00343189" w:rsidRPr="005D718D" w:rsidRDefault="00343189" w:rsidP="00343189">
      <w:pPr>
        <w:jc w:val="both"/>
        <w:rPr>
          <w:b/>
          <w:sz w:val="20"/>
        </w:rPr>
      </w:pPr>
    </w:p>
    <w:p w14:paraId="654281CA" w14:textId="77777777" w:rsidR="00343189" w:rsidRPr="005D718D" w:rsidRDefault="00681735" w:rsidP="00343189">
      <w:pPr>
        <w:ind w:left="720" w:hanging="720"/>
        <w:rPr>
          <w:b/>
        </w:rPr>
      </w:pPr>
      <w:r>
        <w:t>5</w:t>
      </w:r>
      <w:r w:rsidR="00343189" w:rsidRPr="005D718D">
        <w:t>.</w:t>
      </w:r>
      <w:r w:rsidR="00601ACF">
        <w:t>3</w:t>
      </w:r>
      <w:r w:rsidR="00343189" w:rsidRPr="005D718D">
        <w:tab/>
      </w:r>
      <w:r w:rsidR="00343189" w:rsidRPr="005D718D">
        <w:rPr>
          <w:b/>
        </w:rPr>
        <w:t xml:space="preserve">Localised Council Tax Support and Legacy Council Tax Freeze Grant </w:t>
      </w:r>
    </w:p>
    <w:p w14:paraId="437A01FE" w14:textId="77777777" w:rsidR="00343189" w:rsidRPr="005D718D" w:rsidRDefault="00343189" w:rsidP="00343189"/>
    <w:p w14:paraId="5A3A1C1F" w14:textId="77777777" w:rsidR="00471539" w:rsidRPr="00471539" w:rsidRDefault="00343189" w:rsidP="00471539">
      <w:pPr>
        <w:ind w:left="720" w:hanging="720"/>
        <w:rPr>
          <w:lang w:val="en-US"/>
        </w:rPr>
      </w:pPr>
      <w:r w:rsidRPr="005D718D">
        <w:rPr>
          <w:b/>
        </w:rPr>
        <w:tab/>
      </w:r>
      <w:r w:rsidR="00471539" w:rsidRPr="00471539">
        <w:rPr>
          <w:lang w:val="en-US"/>
        </w:rPr>
        <w:t xml:space="preserve">Payment of </w:t>
      </w:r>
      <w:proofErr w:type="spellStart"/>
      <w:r w:rsidR="00471539" w:rsidRPr="00471539">
        <w:rPr>
          <w:lang w:val="en-US"/>
        </w:rPr>
        <w:t>localised</w:t>
      </w:r>
      <w:proofErr w:type="spellEnd"/>
      <w:r w:rsidR="00471539" w:rsidRPr="00471539">
        <w:rPr>
          <w:lang w:val="en-US"/>
        </w:rPr>
        <w:t xml:space="preserve"> council tax support and legacy council tax freeze grant is funded through the Home Office. West Yorkshire’s allocation for 2025/26 is </w:t>
      </w:r>
      <w:r w:rsidR="00471539" w:rsidRPr="00471539">
        <w:rPr>
          <w:bCs/>
          <w:lang w:val="en-US"/>
        </w:rPr>
        <w:t>£16.7m,</w:t>
      </w:r>
      <w:r w:rsidR="00471539" w:rsidRPr="00471539">
        <w:rPr>
          <w:lang w:val="en-US"/>
        </w:rPr>
        <w:t xml:space="preserve"> which is in line in cash terms with the 2024/25 allocation. At this stage we do not know if the legacy council tax freeze grant will be built into the core grant in future years which adds uncertainty. </w:t>
      </w:r>
    </w:p>
    <w:p w14:paraId="5AB6445F" w14:textId="0255AFE6" w:rsidR="00713718" w:rsidRPr="00471539" w:rsidRDefault="00713718" w:rsidP="00DB1387">
      <w:pPr>
        <w:ind w:left="720" w:hanging="720"/>
        <w:rPr>
          <w:highlight w:val="yellow"/>
        </w:rPr>
      </w:pPr>
    </w:p>
    <w:p w14:paraId="1D69E3FB" w14:textId="77777777" w:rsidR="00EC3355" w:rsidRPr="00254116" w:rsidRDefault="00EC3355" w:rsidP="00EC3355">
      <w:pPr>
        <w:ind w:left="720" w:hanging="720"/>
        <w:rPr>
          <w:b/>
          <w:highlight w:val="yellow"/>
        </w:rPr>
      </w:pPr>
    </w:p>
    <w:p w14:paraId="025BC424" w14:textId="77777777" w:rsidR="00713718" w:rsidRPr="005D718D" w:rsidRDefault="00713718" w:rsidP="00713718">
      <w:pPr>
        <w:ind w:firstLine="720"/>
        <w:rPr>
          <w:b/>
        </w:rPr>
      </w:pPr>
      <w:r w:rsidRPr="005D718D">
        <w:rPr>
          <w:b/>
        </w:rPr>
        <w:t>Other Grants</w:t>
      </w:r>
    </w:p>
    <w:p w14:paraId="15805626" w14:textId="77777777" w:rsidR="00713718" w:rsidRPr="00254116" w:rsidRDefault="00713718" w:rsidP="00713718">
      <w:pPr>
        <w:rPr>
          <w:b/>
          <w:highlight w:val="yellow"/>
        </w:rPr>
      </w:pPr>
    </w:p>
    <w:p w14:paraId="7775A4B4" w14:textId="20F94F2A" w:rsidR="00713718" w:rsidRPr="00544137" w:rsidRDefault="00713718" w:rsidP="00713718">
      <w:pPr>
        <w:rPr>
          <w:b/>
        </w:rPr>
      </w:pPr>
      <w:r>
        <w:t>5.</w:t>
      </w:r>
      <w:r w:rsidR="00DB1387">
        <w:t>4</w:t>
      </w:r>
      <w:r w:rsidRPr="00544137">
        <w:tab/>
      </w:r>
      <w:r w:rsidRPr="00544137">
        <w:rPr>
          <w:b/>
        </w:rPr>
        <w:t>Counter Terrorism Specific Grant</w:t>
      </w:r>
    </w:p>
    <w:p w14:paraId="773C875F" w14:textId="77777777" w:rsidR="00713718" w:rsidRPr="00544137" w:rsidRDefault="00713718" w:rsidP="00713718">
      <w:pPr>
        <w:jc w:val="both"/>
      </w:pPr>
    </w:p>
    <w:p w14:paraId="1914A6E9" w14:textId="3B1965C9" w:rsidR="00DB1387" w:rsidRPr="00DA5040" w:rsidRDefault="00DB1387" w:rsidP="00DB1387">
      <w:pPr>
        <w:ind w:left="709"/>
      </w:pPr>
      <w:r w:rsidRPr="00DA5040">
        <w:t xml:space="preserve">Allocations to Counter Terrorism units will be announced further into the year by Government, but will not be made public. </w:t>
      </w:r>
    </w:p>
    <w:p w14:paraId="047C9C5F" w14:textId="77777777" w:rsidR="00713718" w:rsidRPr="00254116" w:rsidRDefault="00713718" w:rsidP="00713718">
      <w:pPr>
        <w:jc w:val="both"/>
        <w:rPr>
          <w:highlight w:val="yellow"/>
        </w:rPr>
      </w:pPr>
    </w:p>
    <w:p w14:paraId="3B879E9C" w14:textId="27DDBF13" w:rsidR="00713718" w:rsidRPr="00466124" w:rsidRDefault="00713718" w:rsidP="00713718">
      <w:r>
        <w:t>5.</w:t>
      </w:r>
      <w:r w:rsidR="00DB1387">
        <w:t>5</w:t>
      </w:r>
      <w:r w:rsidRPr="00466124">
        <w:rPr>
          <w:b/>
        </w:rPr>
        <w:tab/>
        <w:t>Capital Grant</w:t>
      </w:r>
      <w:r w:rsidRPr="00466124">
        <w:t xml:space="preserve"> </w:t>
      </w:r>
    </w:p>
    <w:p w14:paraId="5CDCA60E" w14:textId="77777777" w:rsidR="00713718" w:rsidRPr="00254116" w:rsidRDefault="00713718" w:rsidP="00713718">
      <w:pPr>
        <w:ind w:left="720" w:hanging="720"/>
        <w:rPr>
          <w:highlight w:val="yellow"/>
        </w:rPr>
      </w:pPr>
    </w:p>
    <w:p w14:paraId="7614F0AA" w14:textId="77777777" w:rsidR="00DB1387" w:rsidRPr="00DA5040" w:rsidRDefault="00DB1387" w:rsidP="00DB1387">
      <w:pPr>
        <w:ind w:left="709"/>
      </w:pPr>
      <w:r w:rsidRPr="00DA5040">
        <w:t xml:space="preserve">Capital grants will no longer be provided from 2022/23 onwards. </w:t>
      </w:r>
    </w:p>
    <w:p w14:paraId="52A6E6A3" w14:textId="77777777" w:rsidR="00713718" w:rsidRDefault="00713718" w:rsidP="00713718">
      <w:pPr>
        <w:ind w:left="720"/>
      </w:pPr>
    </w:p>
    <w:p w14:paraId="67EAE529" w14:textId="434266ED" w:rsidR="00571164" w:rsidRDefault="006E4033" w:rsidP="00887E34">
      <w:pPr>
        <w:rPr>
          <w:b/>
        </w:rPr>
      </w:pPr>
      <w:r>
        <w:t>5.</w:t>
      </w:r>
      <w:r w:rsidR="00DB1387">
        <w:t>6</w:t>
      </w:r>
      <w:r w:rsidR="00C66839">
        <w:t xml:space="preserve"> </w:t>
      </w:r>
      <w:r w:rsidR="00C66839">
        <w:tab/>
      </w:r>
      <w:r w:rsidR="00571164">
        <w:rPr>
          <w:b/>
        </w:rPr>
        <w:t xml:space="preserve">Council </w:t>
      </w:r>
      <w:r w:rsidR="00571164" w:rsidRPr="00571164">
        <w:rPr>
          <w:b/>
        </w:rPr>
        <w:t>Taxbase</w:t>
      </w:r>
    </w:p>
    <w:p w14:paraId="39664FF4" w14:textId="77777777" w:rsidR="001D30DE" w:rsidRPr="00571164" w:rsidRDefault="001D30DE" w:rsidP="00887E34">
      <w:pPr>
        <w:rPr>
          <w:b/>
        </w:rPr>
      </w:pPr>
    </w:p>
    <w:p w14:paraId="2516195C" w14:textId="5B8D49AD" w:rsidR="00571164" w:rsidRDefault="00A077D1" w:rsidP="00887E34">
      <w:pPr>
        <w:ind w:left="720" w:hanging="720"/>
      </w:pPr>
      <w:r>
        <w:tab/>
      </w:r>
      <w:r w:rsidR="00114F90" w:rsidRPr="009A7D56">
        <w:t xml:space="preserve">The taxbase, </w:t>
      </w:r>
      <w:r w:rsidR="00935369" w:rsidRPr="009A7D56">
        <w:t>which represents the number of B</w:t>
      </w:r>
      <w:r w:rsidR="00114F90" w:rsidRPr="009A7D56">
        <w:t>and D equiva</w:t>
      </w:r>
      <w:r w:rsidRPr="009A7D56">
        <w:t>lent properties in the county, wa</w:t>
      </w:r>
      <w:r w:rsidR="00114F90" w:rsidRPr="009A7D56">
        <w:t xml:space="preserve">s notified to the </w:t>
      </w:r>
      <w:r w:rsidR="009A7D56" w:rsidRPr="009A7D56">
        <w:t>Mayor</w:t>
      </w:r>
      <w:r w:rsidRPr="009A7D56">
        <w:t xml:space="preserve"> by the Billing </w:t>
      </w:r>
      <w:r w:rsidRPr="00D55080">
        <w:t>Authorities at</w:t>
      </w:r>
      <w:r w:rsidR="009A7D56" w:rsidRPr="00D55080">
        <w:t xml:space="preserve"> 6</w:t>
      </w:r>
      <w:r w:rsidR="00F661B1" w:rsidRPr="00D55080">
        <w:t>9</w:t>
      </w:r>
      <w:r w:rsidR="00602C9D" w:rsidRPr="00D55080">
        <w:t>3,382</w:t>
      </w:r>
      <w:r w:rsidR="00D7725D" w:rsidRPr="00D55080">
        <w:t xml:space="preserve"> </w:t>
      </w:r>
      <w:r w:rsidR="007D024E" w:rsidRPr="00D55080">
        <w:t>as compared wit</w:t>
      </w:r>
      <w:r w:rsidR="006E4033" w:rsidRPr="00D55080">
        <w:t xml:space="preserve">h the </w:t>
      </w:r>
      <w:r w:rsidR="00423635" w:rsidRPr="00D55080">
        <w:t>20</w:t>
      </w:r>
      <w:r w:rsidR="009A7D56" w:rsidRPr="00D55080">
        <w:t>2</w:t>
      </w:r>
      <w:r w:rsidR="00602C9D" w:rsidRPr="00D55080">
        <w:t>4/25</w:t>
      </w:r>
      <w:r w:rsidR="006E4033" w:rsidRPr="00D55080">
        <w:t xml:space="preserve"> </w:t>
      </w:r>
      <w:r w:rsidRPr="00D55080">
        <w:t xml:space="preserve">figure of </w:t>
      </w:r>
      <w:r w:rsidR="00602C9D" w:rsidRPr="00D55080">
        <w:t>684,138</w:t>
      </w:r>
      <w:r w:rsidR="00F43F5A" w:rsidRPr="00D55080">
        <w:t xml:space="preserve">, </w:t>
      </w:r>
      <w:r w:rsidR="009A7D56" w:rsidRPr="00D55080">
        <w:t xml:space="preserve">an increase of </w:t>
      </w:r>
      <w:r w:rsidR="00441EFE" w:rsidRPr="00D55080">
        <w:t>1</w:t>
      </w:r>
      <w:r w:rsidR="00D55080" w:rsidRPr="00D55080">
        <w:t>.35</w:t>
      </w:r>
      <w:r w:rsidR="009A7D56" w:rsidRPr="00D55080">
        <w:t>%.</w:t>
      </w:r>
    </w:p>
    <w:p w14:paraId="5BD7B078" w14:textId="77777777" w:rsidR="00D70E18" w:rsidRDefault="002F306F" w:rsidP="00887E34">
      <w:r>
        <w:br w:type="page"/>
      </w:r>
    </w:p>
    <w:p w14:paraId="7C99C175" w14:textId="77777777" w:rsidR="007C419C" w:rsidRDefault="00A077D1" w:rsidP="00887E34">
      <w:pPr>
        <w:rPr>
          <w:b/>
        </w:rPr>
      </w:pPr>
      <w:r>
        <w:rPr>
          <w:b/>
        </w:rPr>
        <w:lastRenderedPageBreak/>
        <w:t>6.</w:t>
      </w:r>
      <w:r>
        <w:rPr>
          <w:b/>
        </w:rPr>
        <w:tab/>
      </w:r>
      <w:r w:rsidR="00EF25EE">
        <w:rPr>
          <w:b/>
        </w:rPr>
        <w:t xml:space="preserve">COUNCIL TAX </w:t>
      </w:r>
      <w:r>
        <w:rPr>
          <w:b/>
        </w:rPr>
        <w:t>RE</w:t>
      </w:r>
      <w:r w:rsidR="00CE7398">
        <w:rPr>
          <w:b/>
        </w:rPr>
        <w:t>FE</w:t>
      </w:r>
      <w:r w:rsidR="00D70E18" w:rsidRPr="001F4EC9">
        <w:rPr>
          <w:b/>
        </w:rPr>
        <w:t>RENDUM LIMITS</w:t>
      </w:r>
    </w:p>
    <w:p w14:paraId="319FABDA" w14:textId="77777777" w:rsidR="007C419C" w:rsidRDefault="007C419C" w:rsidP="00887E34">
      <w:pPr>
        <w:rPr>
          <w:b/>
        </w:rPr>
      </w:pPr>
    </w:p>
    <w:p w14:paraId="17E11401" w14:textId="5E3924A2" w:rsidR="00FC07F6" w:rsidRPr="00FD5822" w:rsidRDefault="00FC07F6" w:rsidP="00FC07F6">
      <w:pPr>
        <w:pStyle w:val="BodyText"/>
        <w:tabs>
          <w:tab w:val="left" w:pos="284"/>
        </w:tabs>
        <w:spacing w:before="7"/>
        <w:ind w:left="720" w:hanging="720"/>
        <w:rPr>
          <w:rFonts w:ascii="Arial" w:hAnsi="Arial" w:cs="Arial"/>
          <w:bCs/>
        </w:rPr>
      </w:pPr>
      <w:r w:rsidRPr="00A2417D">
        <w:rPr>
          <w:rFonts w:ascii="Arial" w:hAnsi="Arial" w:cs="Arial"/>
        </w:rPr>
        <w:t>6.1</w:t>
      </w:r>
      <w:r>
        <w:tab/>
      </w:r>
      <w:r w:rsidRPr="00FD5822">
        <w:rPr>
          <w:rFonts w:ascii="Arial" w:hAnsi="Arial" w:cs="Arial"/>
          <w:bCs/>
        </w:rPr>
        <w:t xml:space="preserve">Capping criteria enables all PCCs, and Mayors that have PCC Function responsibilities, to raise the policing element of local taxation </w:t>
      </w:r>
      <w:r>
        <w:rPr>
          <w:rFonts w:ascii="Arial" w:hAnsi="Arial" w:cs="Arial"/>
          <w:bCs/>
        </w:rPr>
        <w:t>by</w:t>
      </w:r>
      <w:r w:rsidRPr="00FD5822">
        <w:rPr>
          <w:rFonts w:ascii="Arial" w:hAnsi="Arial" w:cs="Arial"/>
          <w:bCs/>
        </w:rPr>
        <w:t xml:space="preserve"> increas</w:t>
      </w:r>
      <w:r>
        <w:rPr>
          <w:rFonts w:ascii="Arial" w:hAnsi="Arial" w:cs="Arial"/>
          <w:bCs/>
        </w:rPr>
        <w:t>ing</w:t>
      </w:r>
      <w:r w:rsidRPr="00FD5822">
        <w:rPr>
          <w:rFonts w:ascii="Arial" w:hAnsi="Arial" w:cs="Arial"/>
          <w:bCs/>
        </w:rPr>
        <w:t xml:space="preserve"> the Band D equivalent charge by £1</w:t>
      </w:r>
      <w:r w:rsidR="00515BF4">
        <w:rPr>
          <w:rFonts w:ascii="Arial" w:hAnsi="Arial" w:cs="Arial"/>
          <w:bCs/>
        </w:rPr>
        <w:t>4</w:t>
      </w:r>
      <w:r w:rsidRPr="00FD5822">
        <w:rPr>
          <w:rFonts w:ascii="Arial" w:hAnsi="Arial" w:cs="Arial"/>
          <w:bCs/>
        </w:rPr>
        <w:t>. The Mayor intends to use the precept flexibility to increase the Band D equivalent charge by £1</w:t>
      </w:r>
      <w:r w:rsidR="00515BF4">
        <w:rPr>
          <w:rFonts w:ascii="Arial" w:hAnsi="Arial" w:cs="Arial"/>
          <w:bCs/>
        </w:rPr>
        <w:t>4</w:t>
      </w:r>
      <w:r w:rsidRPr="00FD5822">
        <w:rPr>
          <w:rFonts w:ascii="Arial" w:hAnsi="Arial" w:cs="Arial"/>
          <w:bCs/>
        </w:rPr>
        <w:t xml:space="preserve"> (</w:t>
      </w:r>
      <w:r w:rsidR="00515BF4">
        <w:rPr>
          <w:rFonts w:ascii="Arial" w:hAnsi="Arial" w:cs="Arial"/>
          <w:bCs/>
        </w:rPr>
        <w:t>5.6</w:t>
      </w:r>
      <w:r w:rsidRPr="00FD5822">
        <w:rPr>
          <w:rFonts w:ascii="Arial" w:hAnsi="Arial" w:cs="Arial"/>
          <w:bCs/>
        </w:rPr>
        <w:t xml:space="preserve">%) to </w:t>
      </w:r>
      <w:r w:rsidR="00515BF4">
        <w:rPr>
          <w:rFonts w:ascii="Arial" w:hAnsi="Arial" w:cs="Arial"/>
          <w:bCs/>
        </w:rPr>
        <w:t>help</w:t>
      </w:r>
      <w:r w:rsidRPr="00FD5822">
        <w:rPr>
          <w:rFonts w:ascii="Arial" w:hAnsi="Arial" w:cs="Arial"/>
          <w:bCs/>
        </w:rPr>
        <w:t xml:space="preserve"> sustain key front line policing services. Within West Yorkshire, around 81% of Council Tax payers are in bands A, B and C which in reality will mean a less than </w:t>
      </w:r>
      <w:r w:rsidR="009E2154">
        <w:rPr>
          <w:rFonts w:ascii="Arial" w:hAnsi="Arial" w:cs="Arial"/>
          <w:bCs/>
        </w:rPr>
        <w:t>25</w:t>
      </w:r>
      <w:r w:rsidRPr="00FD5822">
        <w:rPr>
          <w:rFonts w:ascii="Arial" w:hAnsi="Arial" w:cs="Arial"/>
          <w:bCs/>
        </w:rPr>
        <w:t xml:space="preserve"> pence per week increase for most Council Tax Payers. </w:t>
      </w:r>
    </w:p>
    <w:p w14:paraId="272013E5" w14:textId="77777777" w:rsidR="005E31A3" w:rsidRPr="00B1051D" w:rsidRDefault="005E31A3" w:rsidP="00B952E1">
      <w:pPr>
        <w:ind w:left="709" w:hanging="709"/>
      </w:pPr>
    </w:p>
    <w:p w14:paraId="59418F44" w14:textId="694BDAD8" w:rsidR="005E31A3" w:rsidRDefault="00FC07F6" w:rsidP="00FC07F6">
      <w:pPr>
        <w:ind w:left="709"/>
        <w:rPr>
          <w:bCs/>
        </w:rPr>
      </w:pPr>
      <w:r>
        <w:rPr>
          <w:bCs/>
        </w:rPr>
        <w:t>The Mayor’s</w:t>
      </w:r>
      <w:r w:rsidRPr="00FD5822">
        <w:rPr>
          <w:bCs/>
        </w:rPr>
        <w:t xml:space="preserve"> </w:t>
      </w:r>
      <w:r>
        <w:rPr>
          <w:bCs/>
        </w:rPr>
        <w:t>B</w:t>
      </w:r>
      <w:r w:rsidRPr="00FD5822">
        <w:rPr>
          <w:bCs/>
        </w:rPr>
        <w:t xml:space="preserve">udget Survey </w:t>
      </w:r>
      <w:r>
        <w:rPr>
          <w:bCs/>
        </w:rPr>
        <w:t>showed</w:t>
      </w:r>
      <w:r w:rsidRPr="00FD5822">
        <w:rPr>
          <w:bCs/>
        </w:rPr>
        <w:t xml:space="preserve"> that </w:t>
      </w:r>
      <w:r w:rsidR="00BE725C">
        <w:rPr>
          <w:bCs/>
        </w:rPr>
        <w:t>58</w:t>
      </w:r>
      <w:r w:rsidRPr="00FD5822">
        <w:rPr>
          <w:bCs/>
        </w:rPr>
        <w:t>% of respondents across West Yorkshire would support a police council tax increase of £1</w:t>
      </w:r>
      <w:r w:rsidR="00FB6619">
        <w:rPr>
          <w:bCs/>
        </w:rPr>
        <w:t>4</w:t>
      </w:r>
    </w:p>
    <w:p w14:paraId="4DC45811" w14:textId="77777777" w:rsidR="00FC07F6" w:rsidRDefault="00FC07F6" w:rsidP="00FC07F6">
      <w:pPr>
        <w:ind w:left="709"/>
      </w:pPr>
    </w:p>
    <w:p w14:paraId="4322167E" w14:textId="4087CFB0" w:rsidR="00D70E18" w:rsidRPr="007C419C" w:rsidRDefault="00A077D1" w:rsidP="00887E34">
      <w:pPr>
        <w:ind w:left="709" w:hanging="709"/>
        <w:rPr>
          <w:b/>
          <w:i/>
        </w:rPr>
      </w:pPr>
      <w:r>
        <w:rPr>
          <w:b/>
          <w:i/>
        </w:rPr>
        <w:t>7.</w:t>
      </w:r>
      <w:r>
        <w:rPr>
          <w:b/>
          <w:i/>
        </w:rPr>
        <w:tab/>
      </w:r>
      <w:r w:rsidRPr="001576FA">
        <w:rPr>
          <w:b/>
        </w:rPr>
        <w:t xml:space="preserve">CAPITAL RESOURCES </w:t>
      </w:r>
      <w:r w:rsidR="00E24CBD">
        <w:rPr>
          <w:b/>
        </w:rPr>
        <w:t>20</w:t>
      </w:r>
      <w:r w:rsidR="007E1849">
        <w:rPr>
          <w:b/>
        </w:rPr>
        <w:t>2</w:t>
      </w:r>
      <w:r w:rsidR="00FB6619">
        <w:rPr>
          <w:b/>
        </w:rPr>
        <w:t>5/26</w:t>
      </w:r>
    </w:p>
    <w:p w14:paraId="0DC5C41B" w14:textId="77777777" w:rsidR="00D70E18" w:rsidRPr="001F4EC9" w:rsidRDefault="00D70E18" w:rsidP="00887E34"/>
    <w:p w14:paraId="480D5E21" w14:textId="2EB78B45" w:rsidR="00D70E18" w:rsidRPr="001F4EC9" w:rsidRDefault="00A077D1" w:rsidP="00537465">
      <w:pPr>
        <w:ind w:left="720" w:hanging="720"/>
      </w:pPr>
      <w:r>
        <w:t>7.1</w:t>
      </w:r>
      <w:r w:rsidR="00B51BC1">
        <w:tab/>
      </w:r>
      <w:r w:rsidR="00D70E18" w:rsidRPr="001F4EC9">
        <w:t>Capital expenditure may be financed in the year it is incurred by a variety of means including the application of capital grants, use of capital receipts or by a charge directly on the revenue budget.  Financing expenditure by loan allows the capital cost to be charged to revenue over a number of years, the charge being the minimum revenue provision or MRP.  The interest due on external borrowing undertaken in support of the loan financing is also a charge to the annual revenue budget.</w:t>
      </w:r>
    </w:p>
    <w:p w14:paraId="43E0F93F" w14:textId="77777777" w:rsidR="00D70E18" w:rsidRPr="001F4EC9" w:rsidRDefault="00D70E18" w:rsidP="00887E34"/>
    <w:p w14:paraId="28C6B6E3" w14:textId="48ED03A7" w:rsidR="00D70E18" w:rsidRPr="001F4EC9" w:rsidRDefault="00033949" w:rsidP="00887E34">
      <w:pPr>
        <w:ind w:left="720" w:hanging="720"/>
      </w:pPr>
      <w:r>
        <w:t>7.</w:t>
      </w:r>
      <w:r w:rsidR="00537465">
        <w:t>2</w:t>
      </w:r>
      <w:r w:rsidR="00A077D1">
        <w:tab/>
      </w:r>
      <w:r w:rsidR="00D70E18" w:rsidRPr="001F4EC9">
        <w:t>There is no restriction, other than affordability, on the amount of capital expenditure that may be financed immediately from the revenue budget, referred to as direct revenue support.</w:t>
      </w:r>
    </w:p>
    <w:p w14:paraId="6A62E380" w14:textId="77777777" w:rsidR="00D70E18" w:rsidRPr="001F4EC9" w:rsidRDefault="00D70E18" w:rsidP="00887E34"/>
    <w:p w14:paraId="6EBE98D0" w14:textId="13FABAFB" w:rsidR="00D70E18" w:rsidRPr="00EE5848" w:rsidRDefault="00033949" w:rsidP="00887E34">
      <w:pPr>
        <w:ind w:left="720" w:hanging="720"/>
      </w:pPr>
      <w:r>
        <w:t>7.</w:t>
      </w:r>
      <w:r w:rsidR="00537465">
        <w:t>3</w:t>
      </w:r>
      <w:r w:rsidR="00B51BC1">
        <w:tab/>
      </w:r>
      <w:r w:rsidR="00D70E18" w:rsidRPr="001F4EC9">
        <w:t xml:space="preserve">Under the Local Government Act 2003, the </w:t>
      </w:r>
      <w:r w:rsidR="00591082">
        <w:t>Mayor</w:t>
      </w:r>
      <w:r w:rsidR="00571164">
        <w:t xml:space="preserve"> </w:t>
      </w:r>
      <w:r w:rsidR="00D70E18" w:rsidRPr="001F4EC9">
        <w:t xml:space="preserve">is able to determine </w:t>
      </w:r>
      <w:r w:rsidR="00571164">
        <w:t xml:space="preserve">how much capital expenditure </w:t>
      </w:r>
      <w:r w:rsidR="00EA6D3C">
        <w:t>she</w:t>
      </w:r>
      <w:r w:rsidR="00571164">
        <w:t xml:space="preserve"> </w:t>
      </w:r>
      <w:r w:rsidR="00D70E18" w:rsidRPr="001F4EC9">
        <w:t xml:space="preserve">can afford to finance by unsupported or prudential borrowing (which does not attract any government grant) having regard to the Prudential Code issued by the Chartered Institute of Public Finance and Accountancy (CIPFA).  The Act requires that the </w:t>
      </w:r>
      <w:r w:rsidR="00591082">
        <w:t>Mayor</w:t>
      </w:r>
      <w:r w:rsidR="00571164">
        <w:t xml:space="preserve"> </w:t>
      </w:r>
      <w:r w:rsidR="00D70E18" w:rsidRPr="001F4EC9">
        <w:t>set</w:t>
      </w:r>
      <w:r w:rsidR="00591082">
        <w:t>s</w:t>
      </w:r>
      <w:r w:rsidR="00D70E18" w:rsidRPr="001F4EC9">
        <w:t xml:space="preserve"> an affordable limit for borrowing each year in accordance with the Code, subject to the scrutiny of the external auditor.  The prudential indicators, including the authorised limit for borrowing, are set out in the </w:t>
      </w:r>
      <w:r w:rsidR="00571164">
        <w:t>Chief Finance Officer’</w:t>
      </w:r>
      <w:r w:rsidR="00D70E18" w:rsidRPr="001F4EC9">
        <w:t>s report on treasury management</w:t>
      </w:r>
      <w:r w:rsidR="00D70E18">
        <w:t>.</w:t>
      </w:r>
    </w:p>
    <w:p w14:paraId="20F9524F" w14:textId="77777777" w:rsidR="00461CA2" w:rsidRDefault="002F306F" w:rsidP="00887E34">
      <w:pPr>
        <w:rPr>
          <w:b/>
        </w:rPr>
      </w:pPr>
      <w:r>
        <w:rPr>
          <w:b/>
        </w:rPr>
        <w:br w:type="page"/>
      </w:r>
    </w:p>
    <w:p w14:paraId="17D76629" w14:textId="4703D2F4" w:rsidR="00D70E18" w:rsidRPr="001F4EC9" w:rsidRDefault="00EF25EE" w:rsidP="00887E34">
      <w:r>
        <w:rPr>
          <w:b/>
        </w:rPr>
        <w:lastRenderedPageBreak/>
        <w:t>8.</w:t>
      </w:r>
      <w:r>
        <w:rPr>
          <w:b/>
        </w:rPr>
        <w:tab/>
      </w:r>
      <w:r w:rsidR="00156D6E">
        <w:rPr>
          <w:b/>
        </w:rPr>
        <w:t xml:space="preserve">REVENUE BUDGET </w:t>
      </w:r>
      <w:r w:rsidR="00E24CBD">
        <w:rPr>
          <w:b/>
        </w:rPr>
        <w:t>20</w:t>
      </w:r>
      <w:r w:rsidR="007E1849">
        <w:rPr>
          <w:b/>
        </w:rPr>
        <w:t>2</w:t>
      </w:r>
      <w:r w:rsidR="004A11FA">
        <w:rPr>
          <w:b/>
        </w:rPr>
        <w:t>5/26</w:t>
      </w:r>
    </w:p>
    <w:p w14:paraId="3D76F4FB" w14:textId="77777777" w:rsidR="00EF25EE" w:rsidRDefault="00EF25EE" w:rsidP="00887E34">
      <w:pPr>
        <w:ind w:firstLine="720"/>
        <w:rPr>
          <w:b/>
        </w:rPr>
      </w:pPr>
    </w:p>
    <w:p w14:paraId="17A122F8" w14:textId="08603ADA" w:rsidR="00D70E18" w:rsidRDefault="00524B01" w:rsidP="00887E34">
      <w:pPr>
        <w:ind w:firstLine="720"/>
        <w:rPr>
          <w:b/>
        </w:rPr>
      </w:pPr>
      <w:r>
        <w:rPr>
          <w:b/>
        </w:rPr>
        <w:t>Mayor’s Police and Crime Team</w:t>
      </w:r>
      <w:r w:rsidR="00EF25EE">
        <w:rPr>
          <w:b/>
        </w:rPr>
        <w:t xml:space="preserve"> </w:t>
      </w:r>
      <w:r w:rsidR="00D70E18" w:rsidRPr="001F4EC9">
        <w:rPr>
          <w:b/>
        </w:rPr>
        <w:t>Budget</w:t>
      </w:r>
    </w:p>
    <w:p w14:paraId="1BC73925" w14:textId="77777777" w:rsidR="006D39B3" w:rsidRPr="001F4EC9" w:rsidRDefault="006D39B3" w:rsidP="00887E34">
      <w:pPr>
        <w:rPr>
          <w:b/>
        </w:rPr>
      </w:pPr>
    </w:p>
    <w:p w14:paraId="44E80AFF" w14:textId="00CACA43" w:rsidR="00D70E18" w:rsidRDefault="00156D6E" w:rsidP="00887E34">
      <w:pPr>
        <w:ind w:left="720" w:hanging="720"/>
      </w:pPr>
      <w:r>
        <w:t>8.1</w:t>
      </w:r>
      <w:r w:rsidR="00B51BC1">
        <w:t>.</w:t>
      </w:r>
      <w:r w:rsidR="00B51BC1">
        <w:tab/>
      </w:r>
      <w:r w:rsidR="001B1349">
        <w:t xml:space="preserve">The draft budget for the </w:t>
      </w:r>
      <w:r w:rsidR="00524B01">
        <w:t>Mayor’s Police and Crime team</w:t>
      </w:r>
      <w:r w:rsidR="00E50693">
        <w:t xml:space="preserve"> is set out at Appendix A</w:t>
      </w:r>
      <w:r w:rsidR="00E24CBD">
        <w:t xml:space="preserve">. </w:t>
      </w:r>
    </w:p>
    <w:p w14:paraId="14FAA837" w14:textId="77777777" w:rsidR="00D70E18" w:rsidRDefault="00D70E18" w:rsidP="00887E34">
      <w:pPr>
        <w:ind w:left="360"/>
        <w:rPr>
          <w:b/>
        </w:rPr>
      </w:pPr>
    </w:p>
    <w:p w14:paraId="6F13F5B5" w14:textId="77777777" w:rsidR="00D70E18" w:rsidRDefault="00FB6B0E" w:rsidP="00887E34">
      <w:pPr>
        <w:ind w:firstLine="720"/>
        <w:rPr>
          <w:b/>
        </w:rPr>
      </w:pPr>
      <w:r>
        <w:rPr>
          <w:b/>
        </w:rPr>
        <w:t>West Yorkshire Police Delegated</w:t>
      </w:r>
      <w:r w:rsidR="00571164">
        <w:rPr>
          <w:b/>
        </w:rPr>
        <w:t xml:space="preserve"> Budget</w:t>
      </w:r>
    </w:p>
    <w:p w14:paraId="6BC615A4" w14:textId="77777777" w:rsidR="002F306F" w:rsidRPr="001D30DE" w:rsidRDefault="002F306F" w:rsidP="00887E34">
      <w:pPr>
        <w:ind w:firstLine="720"/>
        <w:rPr>
          <w:b/>
        </w:rPr>
      </w:pPr>
    </w:p>
    <w:p w14:paraId="54631C8A" w14:textId="77777777" w:rsidR="009E107B" w:rsidRPr="00541574" w:rsidRDefault="00156D6E" w:rsidP="009E107B">
      <w:pPr>
        <w:spacing w:before="120"/>
        <w:ind w:left="709" w:hanging="709"/>
        <w:jc w:val="both"/>
        <w:rPr>
          <w:bCs/>
        </w:rPr>
      </w:pPr>
      <w:r>
        <w:t>8.2</w:t>
      </w:r>
      <w:r>
        <w:tab/>
      </w:r>
      <w:r w:rsidR="009E107B" w:rsidRPr="00541574">
        <w:rPr>
          <w:bCs/>
        </w:rPr>
        <w:t>The updated Medium Term Financial Forecast presented in this report has been based on the following assumptions:</w:t>
      </w:r>
    </w:p>
    <w:p w14:paraId="794ABEFC" w14:textId="77777777" w:rsidR="009E107B" w:rsidRPr="00541574" w:rsidRDefault="009E107B" w:rsidP="009E107B">
      <w:pPr>
        <w:spacing w:before="120"/>
        <w:jc w:val="both"/>
        <w:rPr>
          <w:bCs/>
        </w:rPr>
      </w:pPr>
    </w:p>
    <w:p w14:paraId="438DB61E" w14:textId="77777777" w:rsidR="009E107B" w:rsidRPr="00541574" w:rsidRDefault="009E107B" w:rsidP="009E107B">
      <w:pPr>
        <w:pStyle w:val="ListParagraph"/>
        <w:numPr>
          <w:ilvl w:val="0"/>
          <w:numId w:val="45"/>
        </w:numPr>
        <w:spacing w:after="160" w:line="259" w:lineRule="auto"/>
        <w:contextualSpacing/>
        <w:jc w:val="both"/>
        <w:rPr>
          <w:bCs/>
        </w:rPr>
      </w:pPr>
      <w:r w:rsidRPr="00541574">
        <w:rPr>
          <w:bCs/>
        </w:rPr>
        <w:t>£1</w:t>
      </w:r>
      <w:r>
        <w:rPr>
          <w:bCs/>
        </w:rPr>
        <w:t>4</w:t>
      </w:r>
      <w:r w:rsidRPr="00541574">
        <w:rPr>
          <w:bCs/>
        </w:rPr>
        <w:t xml:space="preserve"> on the band D Council Tax increase in 202</w:t>
      </w:r>
      <w:r>
        <w:rPr>
          <w:bCs/>
        </w:rPr>
        <w:t>5/26</w:t>
      </w:r>
      <w:r w:rsidRPr="00541574">
        <w:rPr>
          <w:bCs/>
        </w:rPr>
        <w:t>, and £</w:t>
      </w:r>
      <w:r>
        <w:rPr>
          <w:bCs/>
        </w:rPr>
        <w:t>10</w:t>
      </w:r>
      <w:r w:rsidRPr="00541574">
        <w:rPr>
          <w:bCs/>
        </w:rPr>
        <w:t xml:space="preserve"> thereafter</w:t>
      </w:r>
      <w:r>
        <w:rPr>
          <w:bCs/>
        </w:rPr>
        <w:t xml:space="preserve"> (in line with the current national position)</w:t>
      </w:r>
    </w:p>
    <w:p w14:paraId="2E907E62" w14:textId="77777777" w:rsidR="009E107B" w:rsidRPr="000A48CF" w:rsidRDefault="009E107B" w:rsidP="009E107B">
      <w:pPr>
        <w:pStyle w:val="ListParagraph"/>
        <w:numPr>
          <w:ilvl w:val="0"/>
          <w:numId w:val="45"/>
        </w:numPr>
        <w:spacing w:after="160" w:line="259" w:lineRule="auto"/>
        <w:contextualSpacing/>
        <w:jc w:val="both"/>
        <w:rPr>
          <w:bCs/>
        </w:rPr>
      </w:pPr>
      <w:r w:rsidRPr="000A48CF">
        <w:rPr>
          <w:bCs/>
        </w:rPr>
        <w:t>2% pay award for 2025/26 and beyond</w:t>
      </w:r>
    </w:p>
    <w:p w14:paraId="784D3523" w14:textId="77777777" w:rsidR="009E107B" w:rsidRPr="000A48CF" w:rsidRDefault="009E107B" w:rsidP="009E107B">
      <w:pPr>
        <w:pStyle w:val="ListParagraph"/>
        <w:numPr>
          <w:ilvl w:val="0"/>
          <w:numId w:val="45"/>
        </w:numPr>
        <w:spacing w:after="160" w:line="259" w:lineRule="auto"/>
        <w:contextualSpacing/>
        <w:jc w:val="both"/>
        <w:rPr>
          <w:bCs/>
        </w:rPr>
      </w:pPr>
      <w:r w:rsidRPr="000A48CF">
        <w:rPr>
          <w:bCs/>
        </w:rPr>
        <w:t>Insurance inflation increases between 20% at 35%, then 2% thereafter</w:t>
      </w:r>
    </w:p>
    <w:p w14:paraId="44FC811E" w14:textId="77777777" w:rsidR="009E107B" w:rsidRDefault="009E107B" w:rsidP="009E107B">
      <w:pPr>
        <w:pStyle w:val="ListParagraph"/>
        <w:numPr>
          <w:ilvl w:val="0"/>
          <w:numId w:val="45"/>
        </w:numPr>
        <w:spacing w:after="160" w:line="259" w:lineRule="auto"/>
        <w:contextualSpacing/>
        <w:jc w:val="both"/>
        <w:rPr>
          <w:bCs/>
        </w:rPr>
      </w:pPr>
      <w:r w:rsidRPr="000A48CF">
        <w:rPr>
          <w:bCs/>
        </w:rPr>
        <w:t>General inflation applied to most other areas of expenditure between 2.5% to 6% per annum, with some contract specific inflation being higher</w:t>
      </w:r>
    </w:p>
    <w:p w14:paraId="0F7D2549" w14:textId="25F22A0D" w:rsidR="00A40DC2" w:rsidRPr="00A83E3C" w:rsidRDefault="00A40DC2" w:rsidP="009E107B">
      <w:pPr>
        <w:ind w:left="720" w:hanging="720"/>
        <w:rPr>
          <w:highlight w:val="yellow"/>
        </w:rPr>
      </w:pPr>
    </w:p>
    <w:p w14:paraId="4F0C1D16" w14:textId="0E0AAA3C" w:rsidR="00156D6E" w:rsidRDefault="00156D6E" w:rsidP="00887E34">
      <w:pPr>
        <w:tabs>
          <w:tab w:val="num" w:pos="720"/>
        </w:tabs>
        <w:ind w:left="720" w:hanging="720"/>
      </w:pPr>
      <w:r w:rsidRPr="00FD35FE">
        <w:t>8.</w:t>
      </w:r>
      <w:r w:rsidR="00FD35FE">
        <w:t>3</w:t>
      </w:r>
      <w:r w:rsidRPr="00FD35FE">
        <w:tab/>
        <w:t>The sum</w:t>
      </w:r>
      <w:r w:rsidR="00440F6F">
        <w:t>mary movement statement from 202</w:t>
      </w:r>
      <w:r w:rsidR="001A4051">
        <w:t>4/25 to 2025/26</w:t>
      </w:r>
      <w:r w:rsidRPr="00FD35FE">
        <w:t xml:space="preserve"> is attached </w:t>
      </w:r>
      <w:r w:rsidR="00EF25EE" w:rsidRPr="00FD35FE">
        <w:t>at Appendix C</w:t>
      </w:r>
      <w:r w:rsidR="00FD35FE" w:rsidRPr="00FD35FE">
        <w:t>.</w:t>
      </w:r>
    </w:p>
    <w:p w14:paraId="1EC4BE58" w14:textId="77777777" w:rsidR="00D70E18" w:rsidRDefault="00D70E18" w:rsidP="00887E34">
      <w:pPr>
        <w:ind w:left="720"/>
      </w:pPr>
    </w:p>
    <w:p w14:paraId="7CC6F847" w14:textId="789CD0C2" w:rsidR="00D70E18" w:rsidRPr="00571164" w:rsidRDefault="00156D6E" w:rsidP="00887E34">
      <w:pPr>
        <w:rPr>
          <w:b/>
        </w:rPr>
      </w:pPr>
      <w:r>
        <w:rPr>
          <w:b/>
        </w:rPr>
        <w:t>9.</w:t>
      </w:r>
      <w:r>
        <w:rPr>
          <w:b/>
        </w:rPr>
        <w:tab/>
      </w:r>
      <w:r w:rsidR="00D70E18" w:rsidRPr="00571164">
        <w:rPr>
          <w:b/>
        </w:rPr>
        <w:t>CAPITAL</w:t>
      </w:r>
      <w:r>
        <w:rPr>
          <w:b/>
        </w:rPr>
        <w:t xml:space="preserve"> PROGRAMME </w:t>
      </w:r>
      <w:r w:rsidR="00440F6F">
        <w:rPr>
          <w:b/>
        </w:rPr>
        <w:t>202</w:t>
      </w:r>
      <w:r w:rsidR="00541C73">
        <w:rPr>
          <w:b/>
        </w:rPr>
        <w:t>5/26</w:t>
      </w:r>
    </w:p>
    <w:p w14:paraId="782FB27A" w14:textId="77777777" w:rsidR="00D70E18" w:rsidRDefault="00D70E18" w:rsidP="00887E34">
      <w:pPr>
        <w:ind w:left="720"/>
      </w:pPr>
    </w:p>
    <w:p w14:paraId="58DEE7BB" w14:textId="16E875D7" w:rsidR="00156D6E" w:rsidRDefault="00156D6E" w:rsidP="00887E34">
      <w:pPr>
        <w:ind w:left="720" w:hanging="720"/>
      </w:pPr>
      <w:r w:rsidRPr="00156D6E">
        <w:t>9.1</w:t>
      </w:r>
      <w:r>
        <w:tab/>
      </w:r>
      <w:r w:rsidRPr="00156D6E">
        <w:t>The</w:t>
      </w:r>
      <w:r>
        <w:t xml:space="preserve"> draft Capital Budget for </w:t>
      </w:r>
      <w:r w:rsidR="00440F6F">
        <w:t>202</w:t>
      </w:r>
      <w:r w:rsidR="00541C73">
        <w:t>5/26</w:t>
      </w:r>
      <w:r>
        <w:t xml:space="preserve"> and forecast </w:t>
      </w:r>
      <w:r w:rsidR="00010282">
        <w:t>through</w:t>
      </w:r>
      <w:r w:rsidR="00440F6F">
        <w:t xml:space="preserve"> to </w:t>
      </w:r>
      <w:r w:rsidR="00440F6F" w:rsidRPr="00C62BAF">
        <w:t>202</w:t>
      </w:r>
      <w:r w:rsidR="006F5268">
        <w:t>8/29</w:t>
      </w:r>
      <w:r>
        <w:t xml:space="preserve"> with associated f</w:t>
      </w:r>
      <w:r w:rsidR="002F306F">
        <w:t>unding is attached at Appendix D</w:t>
      </w:r>
      <w:r>
        <w:t xml:space="preserve">. The draft budget only includes schemes/projects that have already been considered and included in the </w:t>
      </w:r>
      <w:r w:rsidR="00495A9C">
        <w:t>20</w:t>
      </w:r>
      <w:r w:rsidR="00F46F56">
        <w:t>2</w:t>
      </w:r>
      <w:r w:rsidR="006F5268">
        <w:t>5/26</w:t>
      </w:r>
      <w:r>
        <w:t xml:space="preserve"> budget and beyond. This includes:</w:t>
      </w:r>
    </w:p>
    <w:p w14:paraId="7A6CE30C" w14:textId="77777777" w:rsidR="0006422E" w:rsidRDefault="0006422E" w:rsidP="00887E34">
      <w:pPr>
        <w:ind w:left="720" w:hanging="720"/>
      </w:pPr>
    </w:p>
    <w:p w14:paraId="3E4F35B3" w14:textId="19DEF6E2" w:rsidR="004D707B" w:rsidRPr="00C977B3" w:rsidRDefault="004D707B" w:rsidP="00700C11">
      <w:pPr>
        <w:numPr>
          <w:ilvl w:val="0"/>
          <w:numId w:val="12"/>
        </w:numPr>
      </w:pPr>
      <w:r w:rsidRPr="00C977B3">
        <w:t xml:space="preserve">Investment in new District Headquarters </w:t>
      </w:r>
      <w:r w:rsidR="008F3794">
        <w:t xml:space="preserve">facilities </w:t>
      </w:r>
      <w:r w:rsidRPr="00C977B3">
        <w:t>in Kirklees</w:t>
      </w:r>
    </w:p>
    <w:p w14:paraId="4E8522E8" w14:textId="00B25EFC" w:rsidR="00156D6E" w:rsidRPr="00C977B3" w:rsidRDefault="00156D6E" w:rsidP="00700C11">
      <w:pPr>
        <w:numPr>
          <w:ilvl w:val="0"/>
          <w:numId w:val="12"/>
        </w:numPr>
      </w:pPr>
      <w:r w:rsidRPr="00C977B3">
        <w:t>a continuing programme of Estates/Asset R</w:t>
      </w:r>
      <w:r w:rsidR="00C977B3" w:rsidRPr="00C977B3">
        <w:t>efurbishment</w:t>
      </w:r>
      <w:r w:rsidRPr="00C977B3">
        <w:t xml:space="preserve"> works;</w:t>
      </w:r>
    </w:p>
    <w:p w14:paraId="6498EBD5" w14:textId="77777777" w:rsidR="00156D6E" w:rsidRPr="00C977B3" w:rsidRDefault="00156D6E" w:rsidP="00700C11">
      <w:pPr>
        <w:numPr>
          <w:ilvl w:val="0"/>
          <w:numId w:val="12"/>
        </w:numPr>
      </w:pPr>
      <w:r w:rsidRPr="00C977B3">
        <w:t xml:space="preserve">IT replacement programme; and </w:t>
      </w:r>
    </w:p>
    <w:p w14:paraId="599C2424" w14:textId="77777777" w:rsidR="00156D6E" w:rsidRPr="00C977B3" w:rsidRDefault="00156D6E" w:rsidP="00700C11">
      <w:pPr>
        <w:numPr>
          <w:ilvl w:val="0"/>
          <w:numId w:val="12"/>
        </w:numPr>
      </w:pPr>
      <w:r w:rsidRPr="00C977B3">
        <w:t>Vehicle Equipment replacement programmes.</w:t>
      </w:r>
    </w:p>
    <w:p w14:paraId="56236A25" w14:textId="77777777" w:rsidR="00156D6E" w:rsidRPr="00B036F6" w:rsidRDefault="00156D6E" w:rsidP="00887E34">
      <w:pPr>
        <w:ind w:left="720"/>
      </w:pPr>
    </w:p>
    <w:p w14:paraId="27ABEAF4" w14:textId="4C2F8B03" w:rsidR="00156D6E" w:rsidRPr="00D47491" w:rsidRDefault="00156D6E" w:rsidP="00887E34">
      <w:pPr>
        <w:ind w:left="720" w:hanging="720"/>
      </w:pPr>
      <w:r w:rsidRPr="00B036F6">
        <w:t>9.2</w:t>
      </w:r>
      <w:r w:rsidRPr="00B036F6">
        <w:tab/>
      </w:r>
      <w:r w:rsidR="00B036F6" w:rsidRPr="00FD3743">
        <w:t>Bids for new</w:t>
      </w:r>
      <w:r w:rsidR="00440F6F">
        <w:t xml:space="preserve"> significant</w:t>
      </w:r>
      <w:r w:rsidR="00B036F6" w:rsidRPr="00FD3743">
        <w:t xml:space="preserve"> capital expenditure are </w:t>
      </w:r>
      <w:r w:rsidR="00FD3743" w:rsidRPr="00FD3743">
        <w:t>subject</w:t>
      </w:r>
      <w:r w:rsidR="00FD3743">
        <w:t xml:space="preserve"> to business case approval through</w:t>
      </w:r>
      <w:r w:rsidR="00AB1390">
        <w:t xml:space="preserve"> the </w:t>
      </w:r>
      <w:r w:rsidR="00CB09F5">
        <w:t>Joint Executive Group</w:t>
      </w:r>
      <w:r w:rsidR="00FD3743">
        <w:t xml:space="preserve"> with final sign off from the </w:t>
      </w:r>
      <w:r w:rsidR="00E5371A">
        <w:t>Mayor</w:t>
      </w:r>
      <w:r w:rsidR="00FD3743">
        <w:t>.</w:t>
      </w:r>
    </w:p>
    <w:p w14:paraId="0961607F" w14:textId="77777777" w:rsidR="00156D6E" w:rsidRPr="00D47491" w:rsidRDefault="00156D6E" w:rsidP="00887E34"/>
    <w:p w14:paraId="77BF910B" w14:textId="7BF65356" w:rsidR="00156D6E" w:rsidRPr="00E24CBD" w:rsidRDefault="00156D6E" w:rsidP="00E24CBD">
      <w:pPr>
        <w:ind w:left="720" w:hanging="720"/>
        <w:rPr>
          <w:color w:val="FF0000"/>
        </w:rPr>
      </w:pPr>
      <w:r w:rsidRPr="00D47491">
        <w:t>9.3</w:t>
      </w:r>
      <w:r w:rsidRPr="00D47491">
        <w:tab/>
      </w:r>
      <w:r w:rsidRPr="00FB1F16">
        <w:t xml:space="preserve">A funding strategy for the </w:t>
      </w:r>
      <w:r w:rsidRPr="0066066B">
        <w:t>period of the forecast is s</w:t>
      </w:r>
      <w:r w:rsidR="00D1256A" w:rsidRPr="0066066B">
        <w:t>hown at the bottom of Appendix D</w:t>
      </w:r>
      <w:r w:rsidRPr="0066066B">
        <w:t xml:space="preserve">. </w:t>
      </w:r>
      <w:r w:rsidR="00AA4476" w:rsidRPr="00E1181D">
        <w:t xml:space="preserve">Over the lifetime of the Capital MTFF, </w:t>
      </w:r>
      <w:r w:rsidR="007372B4" w:rsidRPr="00E1181D">
        <w:t>£56m</w:t>
      </w:r>
      <w:r w:rsidR="00AA4476" w:rsidRPr="00E1181D">
        <w:t xml:space="preserve"> is forecast to be funded through borrowing, £</w:t>
      </w:r>
      <w:r w:rsidR="007372B4" w:rsidRPr="00E1181D">
        <w:t>35.43</w:t>
      </w:r>
      <w:r w:rsidR="00AA4476" w:rsidRPr="00E1181D">
        <w:t xml:space="preserve"> through direct revenue support, £1</w:t>
      </w:r>
      <w:r w:rsidR="00E1181D" w:rsidRPr="00E1181D">
        <w:t>1.34</w:t>
      </w:r>
      <w:r w:rsidR="00AA4476" w:rsidRPr="00E1181D">
        <w:t>m from reserves and £</w:t>
      </w:r>
      <w:r w:rsidR="00E1181D" w:rsidRPr="00E1181D">
        <w:t>5.76</w:t>
      </w:r>
      <w:r w:rsidR="00AA4476" w:rsidRPr="00E1181D">
        <w:t>m of capital receipts.</w:t>
      </w:r>
    </w:p>
    <w:p w14:paraId="2BDFA0F3" w14:textId="77777777" w:rsidR="0066066B" w:rsidRDefault="0066066B" w:rsidP="00E53654">
      <w:pPr>
        <w:rPr>
          <w:color w:val="FF0000"/>
        </w:rPr>
      </w:pPr>
    </w:p>
    <w:p w14:paraId="3D2E4FBD" w14:textId="77777777" w:rsidR="0066066B" w:rsidRPr="003B757D" w:rsidRDefault="0066066B" w:rsidP="00887E34">
      <w:pPr>
        <w:ind w:left="720" w:hanging="720"/>
        <w:rPr>
          <w:color w:val="FF0000"/>
        </w:rPr>
      </w:pPr>
    </w:p>
    <w:p w14:paraId="34B5C7BF" w14:textId="77777777" w:rsidR="00FF2F46" w:rsidRDefault="00CB504F" w:rsidP="00887E34">
      <w:pPr>
        <w:ind w:left="720" w:hanging="720"/>
        <w:rPr>
          <w:b/>
        </w:rPr>
      </w:pPr>
      <w:r>
        <w:rPr>
          <w:b/>
        </w:rPr>
        <w:t>10.</w:t>
      </w:r>
      <w:r>
        <w:rPr>
          <w:b/>
        </w:rPr>
        <w:tab/>
      </w:r>
      <w:r w:rsidR="0006422E">
        <w:rPr>
          <w:b/>
        </w:rPr>
        <w:t>STRATEGIC PLANNING</w:t>
      </w:r>
    </w:p>
    <w:p w14:paraId="3CBCCC2B" w14:textId="77777777" w:rsidR="00FF2F46" w:rsidRPr="00CB504F" w:rsidRDefault="00FF2F46" w:rsidP="00887E34">
      <w:pPr>
        <w:ind w:left="720" w:hanging="720"/>
        <w:rPr>
          <w:b/>
        </w:rPr>
      </w:pPr>
    </w:p>
    <w:p w14:paraId="31F16909" w14:textId="35858101" w:rsidR="00FF2F46" w:rsidRPr="003350B1" w:rsidRDefault="00FF2F46" w:rsidP="00887E34">
      <w:pPr>
        <w:ind w:left="709" w:right="140" w:hanging="709"/>
        <w:rPr>
          <w:rFonts w:eastAsia="Calibri"/>
          <w:color w:val="FF0000"/>
        </w:rPr>
      </w:pPr>
      <w:r w:rsidRPr="00CB504F">
        <w:t>10.1</w:t>
      </w:r>
      <w:r w:rsidRPr="00CB504F">
        <w:tab/>
      </w:r>
      <w:r w:rsidR="00CB504F" w:rsidRPr="00D57096">
        <w:t>Strategic planning has been based upon the</w:t>
      </w:r>
      <w:r w:rsidR="00AA4476" w:rsidRPr="00D57096">
        <w:t xml:space="preserve"> Mayor’s Police and Crime Plan</w:t>
      </w:r>
      <w:r w:rsidR="00CB504F" w:rsidRPr="00D57096">
        <w:rPr>
          <w:rFonts w:eastAsia="Calibri"/>
        </w:rPr>
        <w:t xml:space="preserve">, </w:t>
      </w:r>
      <w:r w:rsidR="00AA4476" w:rsidRPr="00D57096">
        <w:rPr>
          <w:rFonts w:eastAsia="Calibri"/>
        </w:rPr>
        <w:t xml:space="preserve">the Policing Strategy and </w:t>
      </w:r>
      <w:r w:rsidR="00CB504F" w:rsidRPr="00D57096">
        <w:rPr>
          <w:rFonts w:eastAsia="Calibri"/>
        </w:rPr>
        <w:t>the Force Strategic Assessment</w:t>
      </w:r>
      <w:r w:rsidR="0006422E" w:rsidRPr="00D57096">
        <w:rPr>
          <w:rFonts w:eastAsia="Calibri"/>
        </w:rPr>
        <w:t xml:space="preserve"> (</w:t>
      </w:r>
      <w:r w:rsidR="00CB504F" w:rsidRPr="00D57096">
        <w:rPr>
          <w:rFonts w:eastAsia="Calibri"/>
        </w:rPr>
        <w:t>based on threat risk and harm</w:t>
      </w:r>
      <w:r w:rsidR="0006422E" w:rsidRPr="00D57096">
        <w:rPr>
          <w:rFonts w:eastAsia="Calibri"/>
        </w:rPr>
        <w:t>)</w:t>
      </w:r>
      <w:r w:rsidR="00CB504F" w:rsidRPr="00D57096">
        <w:rPr>
          <w:rFonts w:eastAsia="Calibri"/>
        </w:rPr>
        <w:t xml:space="preserve">, and </w:t>
      </w:r>
      <w:r w:rsidR="00B05C77">
        <w:rPr>
          <w:rFonts w:eastAsia="Calibri"/>
        </w:rPr>
        <w:t>the West Yorkshire Police</w:t>
      </w:r>
      <w:r w:rsidR="00CB504F" w:rsidRPr="00D57096">
        <w:rPr>
          <w:rFonts w:eastAsia="Calibri"/>
        </w:rPr>
        <w:t xml:space="preserve"> </w:t>
      </w:r>
      <w:r w:rsidR="00546780">
        <w:rPr>
          <w:rFonts w:eastAsia="Calibri"/>
        </w:rPr>
        <w:t>Priority Based Budgeting Programme.</w:t>
      </w:r>
      <w:r w:rsidR="00CB504F" w:rsidRPr="00D57096">
        <w:rPr>
          <w:rFonts w:eastAsia="Calibri"/>
        </w:rPr>
        <w:t xml:space="preserve">  </w:t>
      </w:r>
    </w:p>
    <w:p w14:paraId="155748D3" w14:textId="77777777" w:rsidR="00156D6E" w:rsidRDefault="00156D6E" w:rsidP="00887E34">
      <w:pPr>
        <w:ind w:left="720"/>
      </w:pPr>
    </w:p>
    <w:p w14:paraId="5091963A" w14:textId="77777777" w:rsidR="00156D6E" w:rsidRDefault="00FF2F46" w:rsidP="00887E34">
      <w:pPr>
        <w:rPr>
          <w:b/>
        </w:rPr>
      </w:pPr>
      <w:r w:rsidRPr="001C68D5">
        <w:rPr>
          <w:b/>
        </w:rPr>
        <w:t>11</w:t>
      </w:r>
      <w:r w:rsidR="00D1256A" w:rsidRPr="001C68D5">
        <w:rPr>
          <w:b/>
        </w:rPr>
        <w:t>.</w:t>
      </w:r>
      <w:r w:rsidRPr="001C68D5">
        <w:rPr>
          <w:b/>
        </w:rPr>
        <w:tab/>
      </w:r>
      <w:r w:rsidR="00156D6E" w:rsidRPr="001C68D5">
        <w:rPr>
          <w:b/>
        </w:rPr>
        <w:t>OPERATIONAL CONTEXT</w:t>
      </w:r>
      <w:r w:rsidR="00354104">
        <w:rPr>
          <w:b/>
        </w:rPr>
        <w:t xml:space="preserve"> AND WORKFORCE PLANNING</w:t>
      </w:r>
    </w:p>
    <w:p w14:paraId="7C3D0529" w14:textId="77777777" w:rsidR="00354104" w:rsidRDefault="00354104" w:rsidP="00887E34">
      <w:pPr>
        <w:rPr>
          <w:b/>
        </w:rPr>
      </w:pPr>
    </w:p>
    <w:p w14:paraId="4BFBEAC8" w14:textId="733C3EF4" w:rsidR="0024785F" w:rsidRPr="00A04FC2" w:rsidRDefault="00681735" w:rsidP="00601ACF">
      <w:pPr>
        <w:ind w:left="709" w:right="-873" w:hanging="709"/>
        <w:jc w:val="both"/>
        <w:rPr>
          <w:sz w:val="22"/>
          <w:szCs w:val="22"/>
        </w:rPr>
      </w:pPr>
      <w:r w:rsidRPr="005F47EE">
        <w:t>11.1</w:t>
      </w:r>
      <w:r>
        <w:rPr>
          <w:sz w:val="22"/>
          <w:szCs w:val="22"/>
        </w:rPr>
        <w:t xml:space="preserve"> </w:t>
      </w:r>
      <w:r w:rsidR="005F47EE">
        <w:rPr>
          <w:sz w:val="22"/>
          <w:szCs w:val="22"/>
        </w:rPr>
        <w:tab/>
      </w:r>
      <w:r w:rsidR="00440F6F">
        <w:rPr>
          <w:sz w:val="22"/>
          <w:szCs w:val="22"/>
        </w:rPr>
        <w:t>The 202</w:t>
      </w:r>
      <w:r w:rsidR="008C6B51">
        <w:rPr>
          <w:sz w:val="22"/>
          <w:szCs w:val="22"/>
        </w:rPr>
        <w:t>5/26</w:t>
      </w:r>
      <w:r w:rsidR="0024785F" w:rsidRPr="00A04FC2">
        <w:rPr>
          <w:sz w:val="22"/>
          <w:szCs w:val="22"/>
        </w:rPr>
        <w:t xml:space="preserve"> budget is based upon the fo</w:t>
      </w:r>
      <w:r w:rsidR="00D074A5">
        <w:rPr>
          <w:sz w:val="22"/>
          <w:szCs w:val="22"/>
        </w:rPr>
        <w:t>llowing numbers at 31 Marc</w:t>
      </w:r>
      <w:r w:rsidR="00440F6F">
        <w:rPr>
          <w:sz w:val="22"/>
          <w:szCs w:val="22"/>
        </w:rPr>
        <w:t>h 202</w:t>
      </w:r>
      <w:r w:rsidR="008C6B51">
        <w:rPr>
          <w:sz w:val="22"/>
          <w:szCs w:val="22"/>
        </w:rPr>
        <w:t>6</w:t>
      </w:r>
      <w:r w:rsidR="0024785F" w:rsidRPr="00A04FC2">
        <w:rPr>
          <w:sz w:val="22"/>
          <w:szCs w:val="22"/>
        </w:rPr>
        <w:t>:</w:t>
      </w:r>
    </w:p>
    <w:p w14:paraId="1A6AE249" w14:textId="77777777" w:rsidR="0024785F" w:rsidRPr="00254116" w:rsidRDefault="0024785F" w:rsidP="0024785F">
      <w:pPr>
        <w:ind w:right="-874"/>
        <w:rPr>
          <w:sz w:val="22"/>
          <w:szCs w:val="22"/>
          <w:highlight w:val="yellow"/>
        </w:rPr>
      </w:pPr>
    </w:p>
    <w:tbl>
      <w:tblPr>
        <w:tblStyle w:val="ListTable3-Accent5"/>
        <w:tblW w:w="8092" w:type="dxa"/>
        <w:tblInd w:w="73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510"/>
        <w:gridCol w:w="1213"/>
        <w:gridCol w:w="1273"/>
        <w:gridCol w:w="1125"/>
        <w:gridCol w:w="971"/>
      </w:tblGrid>
      <w:tr w:rsidR="00E87FCC" w:rsidRPr="00E87FCC" w14:paraId="4394863E" w14:textId="77777777" w:rsidTr="00E87F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single" w:sz="4" w:space="0" w:color="2F5496" w:themeColor="accent5" w:themeShade="BF"/>
              <w:left w:val="single" w:sz="4" w:space="0" w:color="2F5496" w:themeColor="accent5" w:themeShade="BF"/>
            </w:tcBorders>
          </w:tcPr>
          <w:p w14:paraId="3B92D3D1" w14:textId="77777777" w:rsidR="00E87FCC" w:rsidRPr="00E87FCC" w:rsidRDefault="00E87FCC" w:rsidP="00E87FCC">
            <w:pPr>
              <w:widowControl/>
              <w:autoSpaceDE/>
              <w:autoSpaceDN/>
              <w:ind w:right="43"/>
              <w:rPr>
                <w:sz w:val="22"/>
                <w:szCs w:val="22"/>
              </w:rPr>
            </w:pPr>
          </w:p>
        </w:tc>
        <w:tc>
          <w:tcPr>
            <w:tcW w:w="121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0AD4DA30" w14:textId="77777777" w:rsidR="00E87FCC" w:rsidRPr="00E87FCC" w:rsidRDefault="00E87FCC" w:rsidP="00E87FCC">
            <w:pPr>
              <w:widowControl/>
              <w:autoSpaceDE/>
              <w:autoSpaceDN/>
              <w:ind w:right="43"/>
              <w:cnfStyle w:val="100000000000" w:firstRow="1" w:lastRow="0" w:firstColumn="0" w:lastColumn="0" w:oddVBand="0" w:evenVBand="0" w:oddHBand="0" w:evenHBand="0" w:firstRowFirstColumn="0" w:firstRowLastColumn="0" w:lastRowFirstColumn="0" w:lastRowLastColumn="0"/>
              <w:rPr>
                <w:sz w:val="22"/>
                <w:szCs w:val="22"/>
              </w:rPr>
            </w:pPr>
            <w:r w:rsidRPr="00E87FCC">
              <w:rPr>
                <w:sz w:val="22"/>
                <w:szCs w:val="22"/>
              </w:rPr>
              <w:t>Officers</w:t>
            </w:r>
          </w:p>
        </w:tc>
        <w:tc>
          <w:tcPr>
            <w:tcW w:w="12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22C30E13" w14:textId="77777777" w:rsidR="00E87FCC" w:rsidRPr="00E87FCC" w:rsidRDefault="00E87FCC" w:rsidP="00E87FCC">
            <w:pPr>
              <w:widowControl/>
              <w:autoSpaceDE/>
              <w:autoSpaceDN/>
              <w:ind w:right="43"/>
              <w:cnfStyle w:val="100000000000" w:firstRow="1" w:lastRow="0" w:firstColumn="0" w:lastColumn="0" w:oddVBand="0" w:evenVBand="0" w:oddHBand="0" w:evenHBand="0" w:firstRowFirstColumn="0" w:firstRowLastColumn="0" w:lastRowFirstColumn="0" w:lastRowLastColumn="0"/>
              <w:rPr>
                <w:sz w:val="22"/>
                <w:szCs w:val="22"/>
              </w:rPr>
            </w:pPr>
            <w:r w:rsidRPr="00E87FCC">
              <w:rPr>
                <w:sz w:val="22"/>
                <w:szCs w:val="22"/>
              </w:rPr>
              <w:t>Police Staff</w:t>
            </w:r>
          </w:p>
        </w:tc>
        <w:tc>
          <w:tcPr>
            <w:tcW w:w="112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2FFFAFF1" w14:textId="77777777" w:rsidR="00E87FCC" w:rsidRPr="00E87FCC" w:rsidRDefault="00E87FCC" w:rsidP="00E87FCC">
            <w:pPr>
              <w:widowControl/>
              <w:autoSpaceDE/>
              <w:autoSpaceDN/>
              <w:ind w:right="43"/>
              <w:cnfStyle w:val="100000000000" w:firstRow="1" w:lastRow="0" w:firstColumn="0" w:lastColumn="0" w:oddVBand="0" w:evenVBand="0" w:oddHBand="0" w:evenHBand="0" w:firstRowFirstColumn="0" w:firstRowLastColumn="0" w:lastRowFirstColumn="0" w:lastRowLastColumn="0"/>
              <w:rPr>
                <w:sz w:val="22"/>
                <w:szCs w:val="22"/>
              </w:rPr>
            </w:pPr>
            <w:r w:rsidRPr="00E87FCC">
              <w:rPr>
                <w:sz w:val="22"/>
                <w:szCs w:val="22"/>
              </w:rPr>
              <w:t>PCSOs</w:t>
            </w:r>
          </w:p>
        </w:tc>
        <w:tc>
          <w:tcPr>
            <w:tcW w:w="97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7F0D7D80" w14:textId="77777777" w:rsidR="00E87FCC" w:rsidRPr="00E87FCC" w:rsidRDefault="00E87FCC" w:rsidP="00E87FCC">
            <w:pPr>
              <w:widowControl/>
              <w:autoSpaceDE/>
              <w:autoSpaceDN/>
              <w:ind w:right="43"/>
              <w:cnfStyle w:val="100000000000" w:firstRow="1" w:lastRow="0" w:firstColumn="0" w:lastColumn="0" w:oddVBand="0" w:evenVBand="0" w:oddHBand="0" w:evenHBand="0" w:firstRowFirstColumn="0" w:firstRowLastColumn="0" w:lastRowFirstColumn="0" w:lastRowLastColumn="0"/>
              <w:rPr>
                <w:sz w:val="22"/>
                <w:szCs w:val="22"/>
              </w:rPr>
            </w:pPr>
            <w:r w:rsidRPr="00E87FCC">
              <w:rPr>
                <w:sz w:val="22"/>
                <w:szCs w:val="22"/>
              </w:rPr>
              <w:t>Total:</w:t>
            </w:r>
          </w:p>
        </w:tc>
      </w:tr>
      <w:tr w:rsidR="00E87FCC" w:rsidRPr="00E87FCC" w14:paraId="3A4C248A" w14:textId="77777777" w:rsidTr="00E87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5" w:themeShade="BF"/>
            </w:tcBorders>
            <w:hideMark/>
          </w:tcPr>
          <w:p w14:paraId="33EEE459" w14:textId="4746FD5B" w:rsidR="00E87FCC" w:rsidRPr="00E87FCC" w:rsidRDefault="00E87FCC" w:rsidP="00E87FCC">
            <w:pPr>
              <w:widowControl/>
              <w:autoSpaceDE/>
              <w:autoSpaceDN/>
              <w:ind w:right="43"/>
              <w:rPr>
                <w:sz w:val="22"/>
                <w:szCs w:val="22"/>
              </w:rPr>
            </w:pPr>
            <w:r w:rsidRPr="00E87FCC">
              <w:rPr>
                <w:sz w:val="22"/>
                <w:szCs w:val="22"/>
              </w:rPr>
              <w:t xml:space="preserve">Budgeted FTEs March 2026 </w:t>
            </w:r>
          </w:p>
        </w:tc>
        <w:tc>
          <w:tcPr>
            <w:tcW w:w="1213" w:type="dxa"/>
            <w:tcBorders>
              <w:left w:val="single" w:sz="4" w:space="0" w:color="2F5496" w:themeColor="accent5" w:themeShade="BF"/>
              <w:right w:val="single" w:sz="4" w:space="0" w:color="2F5496" w:themeColor="accent5" w:themeShade="BF"/>
            </w:tcBorders>
            <w:hideMark/>
          </w:tcPr>
          <w:p w14:paraId="6EBAEC6B"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Cs/>
                <w:sz w:val="22"/>
                <w:szCs w:val="22"/>
              </w:rPr>
            </w:pPr>
            <w:r w:rsidRPr="00E87FCC">
              <w:rPr>
                <w:bCs/>
                <w:sz w:val="22"/>
                <w:szCs w:val="22"/>
              </w:rPr>
              <w:t>6,087</w:t>
            </w:r>
          </w:p>
        </w:tc>
        <w:tc>
          <w:tcPr>
            <w:tcW w:w="1273" w:type="dxa"/>
            <w:tcBorders>
              <w:left w:val="single" w:sz="4" w:space="0" w:color="2F5496" w:themeColor="accent5" w:themeShade="BF"/>
              <w:right w:val="single" w:sz="4" w:space="0" w:color="2F5496" w:themeColor="accent5" w:themeShade="BF"/>
            </w:tcBorders>
            <w:hideMark/>
          </w:tcPr>
          <w:p w14:paraId="140CA6A8"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Cs/>
                <w:sz w:val="22"/>
                <w:szCs w:val="22"/>
              </w:rPr>
            </w:pPr>
            <w:r w:rsidRPr="00E87FCC">
              <w:rPr>
                <w:bCs/>
                <w:sz w:val="22"/>
                <w:szCs w:val="22"/>
              </w:rPr>
              <w:t>4,128</w:t>
            </w:r>
          </w:p>
        </w:tc>
        <w:tc>
          <w:tcPr>
            <w:tcW w:w="1125" w:type="dxa"/>
            <w:tcBorders>
              <w:left w:val="single" w:sz="4" w:space="0" w:color="2F5496" w:themeColor="accent5" w:themeShade="BF"/>
              <w:right w:val="single" w:sz="4" w:space="0" w:color="2F5496" w:themeColor="accent5" w:themeShade="BF"/>
            </w:tcBorders>
            <w:hideMark/>
          </w:tcPr>
          <w:p w14:paraId="44623028"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Cs/>
                <w:sz w:val="22"/>
                <w:szCs w:val="22"/>
              </w:rPr>
            </w:pPr>
            <w:r w:rsidRPr="00E87FCC">
              <w:rPr>
                <w:bCs/>
                <w:sz w:val="22"/>
                <w:szCs w:val="22"/>
              </w:rPr>
              <w:t>413</w:t>
            </w:r>
          </w:p>
        </w:tc>
        <w:tc>
          <w:tcPr>
            <w:tcW w:w="971" w:type="dxa"/>
            <w:tcBorders>
              <w:left w:val="single" w:sz="4" w:space="0" w:color="2F5496" w:themeColor="accent5" w:themeShade="BF"/>
              <w:right w:val="single" w:sz="4" w:space="0" w:color="2F5496" w:themeColor="accent5" w:themeShade="BF"/>
            </w:tcBorders>
            <w:hideMark/>
          </w:tcPr>
          <w:p w14:paraId="05DE400F"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Cs/>
                <w:sz w:val="22"/>
                <w:szCs w:val="22"/>
              </w:rPr>
            </w:pPr>
            <w:r w:rsidRPr="00E87FCC">
              <w:rPr>
                <w:bCs/>
                <w:sz w:val="22"/>
                <w:szCs w:val="22"/>
              </w:rPr>
              <w:t>10,614</w:t>
            </w:r>
          </w:p>
        </w:tc>
      </w:tr>
      <w:tr w:rsidR="00E87FCC" w:rsidRPr="00E87FCC" w14:paraId="2C3E2F87" w14:textId="77777777" w:rsidTr="00E87FCC">
        <w:trPr>
          <w:trHeight w:val="569"/>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5" w:themeShade="BF"/>
              <w:left w:val="single" w:sz="4" w:space="0" w:color="2F5496" w:themeColor="accent5" w:themeShade="BF"/>
              <w:bottom w:val="single" w:sz="4" w:space="0" w:color="2F5496" w:themeColor="accent5" w:themeShade="BF"/>
            </w:tcBorders>
          </w:tcPr>
          <w:p w14:paraId="1622989A" w14:textId="77777777" w:rsidR="00E87FCC" w:rsidRPr="00E87FCC" w:rsidRDefault="00E87FCC" w:rsidP="00E87FCC">
            <w:pPr>
              <w:widowControl/>
              <w:autoSpaceDE/>
              <w:autoSpaceDN/>
              <w:ind w:right="43"/>
              <w:rPr>
                <w:sz w:val="22"/>
                <w:szCs w:val="22"/>
              </w:rPr>
            </w:pPr>
            <w:r w:rsidRPr="00E87FCC">
              <w:rPr>
                <w:sz w:val="22"/>
                <w:szCs w:val="22"/>
              </w:rPr>
              <w:t>National or Regional Commitments including,</w:t>
            </w:r>
          </w:p>
          <w:p w14:paraId="484516F3" w14:textId="77777777" w:rsidR="00E87FCC" w:rsidRPr="00E87FCC" w:rsidRDefault="00E87FCC" w:rsidP="00E87FCC">
            <w:pPr>
              <w:widowControl/>
              <w:autoSpaceDE/>
              <w:autoSpaceDN/>
              <w:ind w:right="43"/>
              <w:rPr>
                <w:sz w:val="22"/>
                <w:szCs w:val="22"/>
              </w:rPr>
            </w:pPr>
            <w:r w:rsidRPr="00E87FCC">
              <w:rPr>
                <w:sz w:val="22"/>
                <w:szCs w:val="22"/>
              </w:rPr>
              <w:t>NECTU, Regional Crime</w:t>
            </w:r>
          </w:p>
          <w:p w14:paraId="1D8E3B4D" w14:textId="77777777" w:rsidR="00E87FCC" w:rsidRPr="00E87FCC" w:rsidRDefault="00E87FCC" w:rsidP="00E87FCC">
            <w:pPr>
              <w:widowControl/>
              <w:autoSpaceDE/>
              <w:autoSpaceDN/>
              <w:ind w:right="43"/>
              <w:rPr>
                <w:sz w:val="22"/>
                <w:szCs w:val="22"/>
              </w:rPr>
            </w:pPr>
            <w:r w:rsidRPr="00E87FCC">
              <w:rPr>
                <w:sz w:val="22"/>
                <w:szCs w:val="22"/>
              </w:rPr>
              <w:t>NPAS, Regional Scientific Support, VIPER, PNLD, NPAS and national firearms.</w:t>
            </w:r>
          </w:p>
          <w:p w14:paraId="7485B656" w14:textId="77777777" w:rsidR="00E87FCC" w:rsidRPr="00E87FCC" w:rsidRDefault="00E87FCC" w:rsidP="00E87FCC">
            <w:pPr>
              <w:widowControl/>
              <w:autoSpaceDE/>
              <w:autoSpaceDN/>
              <w:ind w:right="43"/>
              <w:rPr>
                <w:sz w:val="22"/>
                <w:szCs w:val="22"/>
              </w:rPr>
            </w:pPr>
          </w:p>
        </w:tc>
        <w:tc>
          <w:tcPr>
            <w:tcW w:w="121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8B0F861" w14:textId="77777777" w:rsidR="00E87FCC" w:rsidRPr="00E87FCC" w:rsidRDefault="00E87FCC" w:rsidP="00E87FCC">
            <w:pPr>
              <w:widowControl/>
              <w:autoSpaceDE/>
              <w:autoSpaceDN/>
              <w:ind w:right="43"/>
              <w:cnfStyle w:val="000000000000" w:firstRow="0" w:lastRow="0" w:firstColumn="0" w:lastColumn="0" w:oddVBand="0" w:evenVBand="0" w:oddHBand="0" w:evenHBand="0" w:firstRowFirstColumn="0" w:firstRowLastColumn="0" w:lastRowFirstColumn="0" w:lastRowLastColumn="0"/>
              <w:rPr>
                <w:bCs/>
                <w:sz w:val="22"/>
                <w:szCs w:val="22"/>
              </w:rPr>
            </w:pPr>
            <w:r w:rsidRPr="00E87FCC">
              <w:rPr>
                <w:bCs/>
                <w:sz w:val="22"/>
                <w:szCs w:val="22"/>
              </w:rPr>
              <w:t>459</w:t>
            </w:r>
          </w:p>
        </w:tc>
        <w:tc>
          <w:tcPr>
            <w:tcW w:w="12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83573E2" w14:textId="77777777" w:rsidR="00E87FCC" w:rsidRPr="00E87FCC" w:rsidRDefault="00E87FCC" w:rsidP="00E87FCC">
            <w:pPr>
              <w:widowControl/>
              <w:autoSpaceDE/>
              <w:autoSpaceDN/>
              <w:ind w:right="43"/>
              <w:cnfStyle w:val="000000000000" w:firstRow="0" w:lastRow="0" w:firstColumn="0" w:lastColumn="0" w:oddVBand="0" w:evenVBand="0" w:oddHBand="0" w:evenHBand="0" w:firstRowFirstColumn="0" w:firstRowLastColumn="0" w:lastRowFirstColumn="0" w:lastRowLastColumn="0"/>
              <w:rPr>
                <w:bCs/>
                <w:sz w:val="22"/>
                <w:szCs w:val="22"/>
              </w:rPr>
            </w:pPr>
            <w:r w:rsidRPr="00E87FCC">
              <w:rPr>
                <w:bCs/>
                <w:sz w:val="22"/>
                <w:szCs w:val="22"/>
              </w:rPr>
              <w:t>1,091</w:t>
            </w:r>
          </w:p>
        </w:tc>
        <w:tc>
          <w:tcPr>
            <w:tcW w:w="112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5AB8C5A" w14:textId="77777777" w:rsidR="00E87FCC" w:rsidRPr="00E87FCC" w:rsidRDefault="00E87FCC" w:rsidP="00E87FCC">
            <w:pPr>
              <w:widowControl/>
              <w:autoSpaceDE/>
              <w:autoSpaceDN/>
              <w:ind w:right="43"/>
              <w:cnfStyle w:val="000000000000" w:firstRow="0" w:lastRow="0" w:firstColumn="0" w:lastColumn="0" w:oddVBand="0" w:evenVBand="0" w:oddHBand="0" w:evenHBand="0" w:firstRowFirstColumn="0" w:firstRowLastColumn="0" w:lastRowFirstColumn="0" w:lastRowLastColumn="0"/>
              <w:rPr>
                <w:bCs/>
                <w:sz w:val="22"/>
                <w:szCs w:val="22"/>
              </w:rPr>
            </w:pPr>
            <w:r w:rsidRPr="00E87FCC">
              <w:rPr>
                <w:bCs/>
                <w:sz w:val="22"/>
                <w:szCs w:val="22"/>
              </w:rPr>
              <w:t>0</w:t>
            </w:r>
          </w:p>
        </w:tc>
        <w:tc>
          <w:tcPr>
            <w:tcW w:w="97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61343E12" w14:textId="77777777" w:rsidR="00E87FCC" w:rsidRPr="00E87FCC" w:rsidRDefault="00E87FCC" w:rsidP="00E87FCC">
            <w:pPr>
              <w:widowControl/>
              <w:autoSpaceDE/>
              <w:autoSpaceDN/>
              <w:ind w:right="43"/>
              <w:cnfStyle w:val="000000000000" w:firstRow="0" w:lastRow="0" w:firstColumn="0" w:lastColumn="0" w:oddVBand="0" w:evenVBand="0" w:oddHBand="0" w:evenHBand="0" w:firstRowFirstColumn="0" w:firstRowLastColumn="0" w:lastRowFirstColumn="0" w:lastRowLastColumn="0"/>
              <w:rPr>
                <w:bCs/>
                <w:sz w:val="22"/>
                <w:szCs w:val="22"/>
              </w:rPr>
            </w:pPr>
            <w:r w:rsidRPr="00E87FCC">
              <w:rPr>
                <w:bCs/>
                <w:sz w:val="22"/>
                <w:szCs w:val="22"/>
              </w:rPr>
              <w:t>1,550</w:t>
            </w:r>
          </w:p>
        </w:tc>
      </w:tr>
      <w:tr w:rsidR="00E87FCC" w:rsidRPr="00E87FCC" w14:paraId="4BBE9FCD" w14:textId="77777777" w:rsidTr="00E87F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5" w:themeShade="BF"/>
            </w:tcBorders>
            <w:hideMark/>
          </w:tcPr>
          <w:p w14:paraId="68B2129A" w14:textId="77777777" w:rsidR="00E87FCC" w:rsidRPr="00E87FCC" w:rsidRDefault="00E87FCC" w:rsidP="00E87FCC">
            <w:pPr>
              <w:widowControl/>
              <w:autoSpaceDE/>
              <w:autoSpaceDN/>
              <w:ind w:right="43"/>
              <w:rPr>
                <w:sz w:val="22"/>
                <w:szCs w:val="22"/>
              </w:rPr>
            </w:pPr>
            <w:r w:rsidRPr="00E87FCC">
              <w:rPr>
                <w:sz w:val="22"/>
                <w:szCs w:val="22"/>
              </w:rPr>
              <w:t>WY Core Availability</w:t>
            </w:r>
          </w:p>
        </w:tc>
        <w:tc>
          <w:tcPr>
            <w:tcW w:w="1213" w:type="dxa"/>
            <w:tcBorders>
              <w:left w:val="single" w:sz="4" w:space="0" w:color="2F5496" w:themeColor="accent5" w:themeShade="BF"/>
              <w:right w:val="single" w:sz="4" w:space="0" w:color="2F5496" w:themeColor="accent5" w:themeShade="BF"/>
            </w:tcBorders>
            <w:hideMark/>
          </w:tcPr>
          <w:p w14:paraId="12807F81"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
                <w:bCs/>
                <w:sz w:val="22"/>
                <w:szCs w:val="22"/>
              </w:rPr>
            </w:pPr>
            <w:r w:rsidRPr="00E87FCC">
              <w:rPr>
                <w:b/>
                <w:bCs/>
                <w:sz w:val="22"/>
                <w:szCs w:val="22"/>
              </w:rPr>
              <w:t>5,628</w:t>
            </w:r>
          </w:p>
        </w:tc>
        <w:tc>
          <w:tcPr>
            <w:tcW w:w="1273" w:type="dxa"/>
            <w:tcBorders>
              <w:left w:val="single" w:sz="4" w:space="0" w:color="2F5496" w:themeColor="accent5" w:themeShade="BF"/>
              <w:right w:val="single" w:sz="4" w:space="0" w:color="2F5496" w:themeColor="accent5" w:themeShade="BF"/>
            </w:tcBorders>
            <w:hideMark/>
          </w:tcPr>
          <w:p w14:paraId="66A83E5E"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
                <w:bCs/>
                <w:sz w:val="22"/>
                <w:szCs w:val="22"/>
              </w:rPr>
            </w:pPr>
            <w:r w:rsidRPr="00E87FCC">
              <w:rPr>
                <w:b/>
                <w:bCs/>
                <w:sz w:val="22"/>
                <w:szCs w:val="22"/>
              </w:rPr>
              <w:t>3,037</w:t>
            </w:r>
          </w:p>
        </w:tc>
        <w:tc>
          <w:tcPr>
            <w:tcW w:w="1125" w:type="dxa"/>
            <w:tcBorders>
              <w:left w:val="single" w:sz="4" w:space="0" w:color="2F5496" w:themeColor="accent5" w:themeShade="BF"/>
              <w:right w:val="single" w:sz="4" w:space="0" w:color="2F5496" w:themeColor="accent5" w:themeShade="BF"/>
            </w:tcBorders>
            <w:hideMark/>
          </w:tcPr>
          <w:p w14:paraId="5F6D996D"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
                <w:bCs/>
                <w:sz w:val="22"/>
                <w:szCs w:val="22"/>
              </w:rPr>
            </w:pPr>
            <w:r w:rsidRPr="00E87FCC">
              <w:rPr>
                <w:b/>
                <w:bCs/>
                <w:sz w:val="22"/>
                <w:szCs w:val="22"/>
              </w:rPr>
              <w:t>413</w:t>
            </w:r>
          </w:p>
        </w:tc>
        <w:tc>
          <w:tcPr>
            <w:tcW w:w="971" w:type="dxa"/>
            <w:tcBorders>
              <w:left w:val="single" w:sz="4" w:space="0" w:color="2F5496" w:themeColor="accent5" w:themeShade="BF"/>
              <w:right w:val="single" w:sz="4" w:space="0" w:color="2F5496" w:themeColor="accent5" w:themeShade="BF"/>
            </w:tcBorders>
            <w:hideMark/>
          </w:tcPr>
          <w:p w14:paraId="0AA3DF6A" w14:textId="77777777" w:rsidR="00E87FCC" w:rsidRPr="00E87FCC" w:rsidRDefault="00E87FCC" w:rsidP="00E87FCC">
            <w:pPr>
              <w:widowControl/>
              <w:autoSpaceDE/>
              <w:autoSpaceDN/>
              <w:ind w:right="43"/>
              <w:cnfStyle w:val="000000100000" w:firstRow="0" w:lastRow="0" w:firstColumn="0" w:lastColumn="0" w:oddVBand="0" w:evenVBand="0" w:oddHBand="1" w:evenHBand="0" w:firstRowFirstColumn="0" w:firstRowLastColumn="0" w:lastRowFirstColumn="0" w:lastRowLastColumn="0"/>
              <w:rPr>
                <w:b/>
                <w:bCs/>
                <w:sz w:val="22"/>
                <w:szCs w:val="22"/>
              </w:rPr>
            </w:pPr>
            <w:r w:rsidRPr="00E87FCC">
              <w:rPr>
                <w:b/>
                <w:bCs/>
                <w:sz w:val="22"/>
                <w:szCs w:val="22"/>
              </w:rPr>
              <w:t>9,064</w:t>
            </w:r>
          </w:p>
        </w:tc>
      </w:tr>
    </w:tbl>
    <w:p w14:paraId="7B238A22" w14:textId="77777777" w:rsidR="0024785F" w:rsidRPr="00E87FCC" w:rsidRDefault="0024785F" w:rsidP="0024785F">
      <w:pPr>
        <w:ind w:right="43"/>
        <w:rPr>
          <w:sz w:val="22"/>
          <w:szCs w:val="22"/>
        </w:rPr>
      </w:pPr>
    </w:p>
    <w:p w14:paraId="6756B720" w14:textId="77777777" w:rsidR="00E53654" w:rsidRDefault="00E53654" w:rsidP="00E53654">
      <w:pPr>
        <w:pStyle w:val="BodyText"/>
        <w:spacing w:before="7"/>
        <w:rPr>
          <w:rFonts w:ascii="Arial" w:hAnsi="Arial" w:cs="Arial"/>
          <w:bCs/>
        </w:rPr>
      </w:pPr>
    </w:p>
    <w:p w14:paraId="170D95CD" w14:textId="77777777" w:rsidR="00A90093" w:rsidRPr="00A90093" w:rsidRDefault="00E53654" w:rsidP="00A90093">
      <w:pPr>
        <w:ind w:left="709" w:right="140" w:hanging="709"/>
      </w:pPr>
      <w:r w:rsidRPr="00A90093">
        <w:t>11.2</w:t>
      </w:r>
      <w:r w:rsidRPr="00A90093">
        <w:tab/>
      </w:r>
      <w:r w:rsidR="00A90093" w:rsidRPr="00A90093">
        <w:t>West Yorkshire Police have appointed 244 new student officers this financial year to date and there are plans to appoint a further 132 before the end of March 2025. In addition, West Yorkshire Police have appointed 41 transferees since 1 April 2024 with a further 20 anticipated by 31st March 2025. This takes the total number of police officers appointed in 2024/25 to 437. West Yorkshire Police has maintained the early recruitment of 100 from 2022/23 as the Home Office gave further funding in the budget settlement and will have recruited a further 43 to take the force 143 above the Police Uplift of 852.</w:t>
      </w:r>
    </w:p>
    <w:p w14:paraId="7F389A95" w14:textId="77777777" w:rsidR="00A90093" w:rsidRPr="00A90093" w:rsidRDefault="00A90093" w:rsidP="00A90093">
      <w:pPr>
        <w:ind w:left="709" w:right="140" w:hanging="709"/>
      </w:pPr>
    </w:p>
    <w:p w14:paraId="398F406A" w14:textId="77777777" w:rsidR="00A90093" w:rsidRPr="00A90093" w:rsidRDefault="00A90093" w:rsidP="00A90093">
      <w:pPr>
        <w:ind w:left="709" w:right="140"/>
      </w:pPr>
      <w:r w:rsidRPr="00A90093">
        <w:t>West Yorkshire Police has appointed 52 new PCSOs this financial year to date however, there are no plans to recruit any more PCSOs in 2024/25, there is expected to be a net decrease of 47 PCSOs once all retirees and leavers are taken into account. This takes the PCSO strength to 489 FTEs by 31 March 2025.</w:t>
      </w:r>
    </w:p>
    <w:p w14:paraId="47A6E6C4" w14:textId="77777777" w:rsidR="00A90093" w:rsidRPr="00A90093" w:rsidRDefault="00A90093" w:rsidP="00A90093">
      <w:pPr>
        <w:ind w:left="709" w:right="140" w:hanging="709"/>
      </w:pPr>
    </w:p>
    <w:p w14:paraId="68EFD93F" w14:textId="77777777" w:rsidR="00A90093" w:rsidRPr="00A90093" w:rsidRDefault="00A90093" w:rsidP="00A90093">
      <w:pPr>
        <w:ind w:left="709" w:right="140"/>
      </w:pPr>
      <w:r w:rsidRPr="00A90093">
        <w:t>The Medium-Term Financial Forecast has been prepared alongside current workforce planning. Workforce planning includes predicting police officer leavers of each rank, PCSO and police staff leavers, workforce modernisation plans and recruitment plans, including probationers and transferees. The national uplift programme is also factored in. Other variables that may impact on the recruitment strategy continue to be monitored i.e., career breaks, and secondee returns. </w:t>
      </w:r>
    </w:p>
    <w:p w14:paraId="4029FDD7" w14:textId="546E433E" w:rsidR="0024785F" w:rsidRPr="00A90093" w:rsidRDefault="0024785F" w:rsidP="00A90093">
      <w:pPr>
        <w:ind w:left="709" w:right="140" w:hanging="709"/>
      </w:pPr>
    </w:p>
    <w:p w14:paraId="6CCA9FE6" w14:textId="77777777" w:rsidR="009A6767" w:rsidRPr="00D91495" w:rsidRDefault="00681735" w:rsidP="009A6767">
      <w:pPr>
        <w:pStyle w:val="BodyText"/>
        <w:spacing w:before="7"/>
        <w:ind w:left="709" w:hanging="709"/>
        <w:rPr>
          <w:rFonts w:ascii="Arial" w:hAnsi="Arial" w:cs="Arial"/>
          <w:bCs/>
          <w:szCs w:val="24"/>
        </w:rPr>
      </w:pPr>
      <w:r w:rsidRPr="00A2417D">
        <w:rPr>
          <w:rFonts w:ascii="Arial" w:hAnsi="Arial" w:cs="Arial"/>
        </w:rPr>
        <w:t>11</w:t>
      </w:r>
      <w:r w:rsidR="004F2EC6" w:rsidRPr="00A2417D">
        <w:rPr>
          <w:rFonts w:ascii="Arial" w:hAnsi="Arial" w:cs="Arial"/>
        </w:rPr>
        <w:t>.3</w:t>
      </w:r>
      <w:r w:rsidR="0024785F" w:rsidRPr="00436BDF">
        <w:t xml:space="preserve"> </w:t>
      </w:r>
      <w:r w:rsidR="0024785F" w:rsidRPr="00436BDF">
        <w:tab/>
      </w:r>
      <w:r w:rsidR="009A6767" w:rsidRPr="00D91495">
        <w:rPr>
          <w:rFonts w:ascii="Arial" w:hAnsi="Arial" w:cs="Arial"/>
          <w:bCs/>
          <w:szCs w:val="24"/>
        </w:rPr>
        <w:t>Early work on West Yorkshire Police’s Force Management Statement 7 (FMS7) outlines a number of positive achievements of West Yorkshire Police over the last 12 months:</w:t>
      </w:r>
    </w:p>
    <w:p w14:paraId="34651F2F"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 xml:space="preserve">Total contacts (including 999 and 101) are on a reducing trend and performance around 999 remains strong with performance around 101 improving (answer times and abandonment rate).  Response times for emergency and priority incidents continue to improve as does satisfaction with speed of arrival.  </w:t>
      </w:r>
    </w:p>
    <w:p w14:paraId="266A25D1"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 xml:space="preserve">The Force has rolled out Remote Resolution Teams for District appointments and Rapid Video Response for non-emergency domestic abuse incidents.  </w:t>
      </w:r>
    </w:p>
    <w:p w14:paraId="5139914D"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 xml:space="preserve">Total crime continues on a reducing trend within the context of the Force being graded again in 2024 as ‘Outstanding’ by HMICFRS for crime recording.  A small reduction in total crime is projected over the next four years. </w:t>
      </w:r>
    </w:p>
    <w:p w14:paraId="288810AA"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Most areas of ‘neighbourhood crime’ remain below the December 2019 baseline.  Residential burglary has reduced by 37.9%, business and community burglary by 23.6%, theft from vehicle by 39.1% and robbery by 13.7%.   Whilst residential burglary is projected to increase over the next four years, numbers are projected to remain below the December 2019 baseline.</w:t>
      </w:r>
    </w:p>
    <w:p w14:paraId="06F40D7F"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lastRenderedPageBreak/>
        <w:t xml:space="preserve">Whilst knife crime and personal robbery are stable, knife crime is 12.2% below the December 2019 baseline and personal robbery is 13.7% below the baseline.  Small increases are projected over the four years, but again numbers are projected to remain below the December 2019 baseline. </w:t>
      </w:r>
    </w:p>
    <w:p w14:paraId="5BB67C67"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There is a slow but improving trend for victim satisfaction.  Satisfaction has improved across most crime types surveyed with particular improvements around anti-social behaviour and violence against the person.  Domestic Abuse victims continue to have one of the highest rates of satisfaction across the crime types surveyed and there has been further improvement over the last 12 months.</w:t>
      </w:r>
    </w:p>
    <w:p w14:paraId="02CF6F43"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 xml:space="preserve">There has been long term prioritisation of domestic abuse, sexual offences and child sexual exploitation and abuse, which are nationally prioritised Violence Against Women and Girls (VAWG) threats.  The Force has invested significantly in Safeguarding over the last few years and Value for Money Profiles show West Yorkshire Police is third highest nationally (and highest in the MSG) for allocation of FTE (per 1000 population) to  Public Protection and highest in the Most Similar Group (MSG). </w:t>
      </w:r>
    </w:p>
    <w:p w14:paraId="6AEC09C5" w14:textId="77777777" w:rsidR="009A6767" w:rsidRPr="009A6767" w:rsidRDefault="009A6767" w:rsidP="009A6767">
      <w:pPr>
        <w:pStyle w:val="BodyText"/>
        <w:numPr>
          <w:ilvl w:val="0"/>
          <w:numId w:val="29"/>
        </w:numPr>
        <w:rPr>
          <w:rFonts w:ascii="Arial" w:hAnsi="Arial" w:cs="Arial"/>
          <w:bCs/>
          <w:szCs w:val="24"/>
        </w:rPr>
      </w:pPr>
      <w:r w:rsidRPr="009A6767">
        <w:rPr>
          <w:rFonts w:ascii="Arial" w:hAnsi="Arial" w:cs="Arial"/>
          <w:bCs/>
          <w:szCs w:val="24"/>
        </w:rPr>
        <w:t>After being at an all-time high in FMS6, Killed and Seriously Injury road traffic collisions have reduced over the last 12 months.  The number of fatal collisions is lower than the December 2019 baseline.</w:t>
      </w:r>
    </w:p>
    <w:p w14:paraId="7C3FBFC1" w14:textId="77777777" w:rsidR="009A6767" w:rsidRPr="009A6767" w:rsidRDefault="009A6767" w:rsidP="009A6767">
      <w:pPr>
        <w:pStyle w:val="BodyText"/>
        <w:numPr>
          <w:ilvl w:val="0"/>
          <w:numId w:val="30"/>
        </w:numPr>
        <w:rPr>
          <w:rFonts w:ascii="Arial" w:hAnsi="Arial" w:cs="Arial"/>
          <w:bCs/>
          <w:szCs w:val="24"/>
        </w:rPr>
      </w:pPr>
      <w:r w:rsidRPr="009A6767">
        <w:rPr>
          <w:rFonts w:ascii="Arial" w:hAnsi="Arial" w:cs="Arial"/>
          <w:bCs/>
          <w:szCs w:val="24"/>
        </w:rPr>
        <w:t xml:space="preserve">Despite the financial challenges over the last 14 years, the Force has invested in areas of risk such as safeguarding, digital forensics, serious and organised crime and criminal justice, whilst also making required financial savings.  The Force is now implementing  Priority Based Budgeting to close the financial gap in the medium and long-term and to ensure resources are aligned to the priority areas identified through the Policing Strategy and Force Management Statement.  </w:t>
      </w:r>
    </w:p>
    <w:p w14:paraId="34AC4354" w14:textId="77777777" w:rsidR="009A6767" w:rsidRPr="009A6767" w:rsidRDefault="009A6767" w:rsidP="009A6767">
      <w:pPr>
        <w:pStyle w:val="BodyText"/>
        <w:ind w:left="709" w:hanging="709"/>
        <w:rPr>
          <w:rFonts w:ascii="Arial" w:hAnsi="Arial" w:cs="Arial"/>
          <w:bCs/>
          <w:szCs w:val="24"/>
        </w:rPr>
      </w:pPr>
    </w:p>
    <w:p w14:paraId="4F9FBCDD" w14:textId="77777777" w:rsidR="009A6767" w:rsidRPr="009A6767" w:rsidRDefault="009A6767" w:rsidP="005A2189">
      <w:pPr>
        <w:pStyle w:val="BodyText"/>
        <w:ind w:left="720"/>
        <w:rPr>
          <w:rFonts w:ascii="Arial" w:hAnsi="Arial" w:cs="Arial"/>
          <w:bCs/>
          <w:szCs w:val="24"/>
        </w:rPr>
      </w:pPr>
      <w:r w:rsidRPr="009A6767">
        <w:rPr>
          <w:rFonts w:ascii="Arial" w:hAnsi="Arial" w:cs="Arial"/>
          <w:bCs/>
          <w:szCs w:val="24"/>
        </w:rPr>
        <w:t>Whilst FMS7 evidences some real successes for the Force, there remains some significant challenges set within the context of substantial reductions in the police budget over the last 14 years, continued financial pressures over the next few years and increasing complexity of policing demand which cuts across the full range of policing functions.  Some key challenges from the emerging FMS7 are outlined in the table below:</w:t>
      </w:r>
    </w:p>
    <w:p w14:paraId="3E1D51D6" w14:textId="77777777" w:rsidR="009A6767" w:rsidRPr="009A6767" w:rsidRDefault="009A6767" w:rsidP="009A6767">
      <w:pPr>
        <w:pStyle w:val="BodyText"/>
        <w:spacing w:before="7"/>
        <w:ind w:left="709" w:hanging="709"/>
        <w:rPr>
          <w:rFonts w:ascii="Arial" w:hAnsi="Arial" w:cs="Arial"/>
          <w:bCs/>
          <w:szCs w:val="24"/>
        </w:rPr>
      </w:pPr>
    </w:p>
    <w:p w14:paraId="05D959A2" w14:textId="77777777" w:rsidR="009A6767" w:rsidRPr="009A6767" w:rsidRDefault="009A6767" w:rsidP="009A6767">
      <w:pPr>
        <w:pStyle w:val="BodyText"/>
        <w:spacing w:before="7"/>
        <w:ind w:left="709" w:hanging="709"/>
        <w:rPr>
          <w:rFonts w:ascii="Arial" w:hAnsi="Arial" w:cs="Arial"/>
          <w:bCs/>
          <w:szCs w:val="24"/>
          <w:lang w:val="en-US"/>
        </w:rPr>
      </w:pPr>
    </w:p>
    <w:tbl>
      <w:tblPr>
        <w:tblStyle w:val="TableGrid"/>
        <w:tblW w:w="9073" w:type="dxa"/>
        <w:tblInd w:w="-431" w:type="dxa"/>
        <w:tblLook w:val="04A0" w:firstRow="1" w:lastRow="0" w:firstColumn="1" w:lastColumn="0" w:noHBand="0" w:noVBand="1"/>
      </w:tblPr>
      <w:tblGrid>
        <w:gridCol w:w="2379"/>
        <w:gridCol w:w="6694"/>
      </w:tblGrid>
      <w:tr w:rsidR="009A6767" w:rsidRPr="009A6767" w14:paraId="6D9BC16C"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E505BFD"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Cs/>
                <w:szCs w:val="24"/>
                <w:lang w:val="en-US"/>
              </w:rPr>
              <w:br w:type="page"/>
            </w:r>
            <w:r w:rsidRPr="009A6767">
              <w:rPr>
                <w:rFonts w:ascii="Arial" w:hAnsi="Arial" w:cs="Arial"/>
                <w:b/>
                <w:bCs/>
                <w:szCs w:val="24"/>
              </w:rPr>
              <w:t xml:space="preserve">Area </w:t>
            </w:r>
          </w:p>
        </w:tc>
        <w:tc>
          <w:tcPr>
            <w:tcW w:w="7176" w:type="dxa"/>
            <w:tcBorders>
              <w:top w:val="single" w:sz="4" w:space="0" w:color="auto"/>
              <w:left w:val="single" w:sz="4" w:space="0" w:color="auto"/>
              <w:bottom w:val="single" w:sz="4" w:space="0" w:color="auto"/>
              <w:right w:val="single" w:sz="4" w:space="0" w:color="auto"/>
            </w:tcBorders>
            <w:hideMark/>
          </w:tcPr>
          <w:p w14:paraId="6BE5E554"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Commentary</w:t>
            </w:r>
          </w:p>
        </w:tc>
      </w:tr>
      <w:tr w:rsidR="009A6767" w:rsidRPr="009A6767" w14:paraId="7CAE2DC7"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0B583A75"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 xml:space="preserve">Financial pressures </w:t>
            </w:r>
          </w:p>
        </w:tc>
        <w:tc>
          <w:tcPr>
            <w:tcW w:w="7176" w:type="dxa"/>
            <w:tcBorders>
              <w:top w:val="single" w:sz="4" w:space="0" w:color="auto"/>
              <w:left w:val="single" w:sz="4" w:space="0" w:color="auto"/>
              <w:bottom w:val="single" w:sz="4" w:space="0" w:color="auto"/>
              <w:right w:val="single" w:sz="4" w:space="0" w:color="auto"/>
            </w:tcBorders>
            <w:hideMark/>
          </w:tcPr>
          <w:p w14:paraId="52C75579" w14:textId="77777777" w:rsidR="009A6767" w:rsidRPr="009A6767" w:rsidRDefault="009A6767" w:rsidP="009A6767">
            <w:pPr>
              <w:pStyle w:val="BodyText"/>
              <w:numPr>
                <w:ilvl w:val="0"/>
                <w:numId w:val="31"/>
              </w:numPr>
              <w:rPr>
                <w:rFonts w:ascii="Arial" w:hAnsi="Arial" w:cs="Arial"/>
                <w:bCs/>
                <w:szCs w:val="24"/>
              </w:rPr>
            </w:pPr>
            <w:r w:rsidRPr="009A6767">
              <w:rPr>
                <w:rFonts w:ascii="Arial" w:hAnsi="Arial" w:cs="Arial"/>
                <w:bCs/>
                <w:szCs w:val="24"/>
              </w:rPr>
              <w:t>The Medium Term Financial Forecast outlines the financial pressures and required savings facing the Force.</w:t>
            </w:r>
          </w:p>
          <w:p w14:paraId="4426DAEC" w14:textId="77777777" w:rsidR="009A6767" w:rsidRPr="009A6767" w:rsidRDefault="009A6767" w:rsidP="009A6767">
            <w:pPr>
              <w:pStyle w:val="BodyText"/>
              <w:numPr>
                <w:ilvl w:val="0"/>
                <w:numId w:val="31"/>
              </w:numPr>
              <w:rPr>
                <w:rFonts w:ascii="Arial" w:hAnsi="Arial" w:cs="Arial"/>
                <w:bCs/>
                <w:szCs w:val="24"/>
              </w:rPr>
            </w:pPr>
            <w:r w:rsidRPr="009A6767">
              <w:rPr>
                <w:rFonts w:ascii="Arial" w:hAnsi="Arial" w:cs="Arial"/>
                <w:bCs/>
                <w:szCs w:val="24"/>
              </w:rPr>
              <w:t xml:space="preserve">Whilst PBB is the Force’s medium to long term response to meeting the savings gap, Value For Money profiles show that West Yorkshire Police has less spend per FTE than any other force in the country, making further savings more challenging.  </w:t>
            </w:r>
          </w:p>
          <w:p w14:paraId="21A97304" w14:textId="77777777" w:rsidR="009A6767" w:rsidRPr="009A6767" w:rsidRDefault="009A6767" w:rsidP="009A6767">
            <w:pPr>
              <w:pStyle w:val="BodyText"/>
              <w:numPr>
                <w:ilvl w:val="0"/>
                <w:numId w:val="31"/>
              </w:numPr>
              <w:rPr>
                <w:rFonts w:ascii="Arial" w:hAnsi="Arial" w:cs="Arial"/>
                <w:bCs/>
                <w:szCs w:val="24"/>
              </w:rPr>
            </w:pPr>
            <w:r w:rsidRPr="009A6767">
              <w:rPr>
                <w:rFonts w:ascii="Arial" w:hAnsi="Arial" w:cs="Arial"/>
                <w:bCs/>
                <w:szCs w:val="24"/>
              </w:rPr>
              <w:t>Whilst the Force has the second highest crime rate in the country it is only 15</w:t>
            </w:r>
            <w:r w:rsidRPr="009A6767">
              <w:rPr>
                <w:rFonts w:ascii="Arial" w:hAnsi="Arial" w:cs="Arial"/>
                <w:bCs/>
                <w:szCs w:val="24"/>
                <w:vertAlign w:val="superscript"/>
              </w:rPr>
              <w:t>th</w:t>
            </w:r>
            <w:r w:rsidRPr="009A6767">
              <w:rPr>
                <w:rFonts w:ascii="Arial" w:hAnsi="Arial" w:cs="Arial"/>
                <w:bCs/>
                <w:szCs w:val="24"/>
              </w:rPr>
              <w:t xml:space="preserve"> highest in terms of funding per head of the population.  There is a significant gap between share of police funding in West Yorkshire and share of need.</w:t>
            </w:r>
          </w:p>
        </w:tc>
      </w:tr>
      <w:tr w:rsidR="009A6767" w:rsidRPr="009A6767" w14:paraId="31422725" w14:textId="77777777" w:rsidTr="009A6767">
        <w:trPr>
          <w:trHeight w:val="2118"/>
        </w:trPr>
        <w:tc>
          <w:tcPr>
            <w:tcW w:w="1897" w:type="dxa"/>
            <w:tcBorders>
              <w:top w:val="single" w:sz="4" w:space="0" w:color="auto"/>
              <w:left w:val="single" w:sz="4" w:space="0" w:color="auto"/>
              <w:bottom w:val="single" w:sz="4" w:space="0" w:color="auto"/>
              <w:right w:val="single" w:sz="4" w:space="0" w:color="auto"/>
            </w:tcBorders>
            <w:hideMark/>
          </w:tcPr>
          <w:p w14:paraId="411F1684"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 xml:space="preserve">Socio Economic Challenges </w:t>
            </w:r>
          </w:p>
        </w:tc>
        <w:tc>
          <w:tcPr>
            <w:tcW w:w="7176" w:type="dxa"/>
            <w:tcBorders>
              <w:top w:val="single" w:sz="4" w:space="0" w:color="auto"/>
              <w:left w:val="single" w:sz="4" w:space="0" w:color="auto"/>
              <w:bottom w:val="single" w:sz="4" w:space="0" w:color="auto"/>
              <w:right w:val="single" w:sz="4" w:space="0" w:color="auto"/>
            </w:tcBorders>
            <w:hideMark/>
          </w:tcPr>
          <w:p w14:paraId="60AF9D18" w14:textId="77777777" w:rsidR="009A6767" w:rsidRPr="009A6767" w:rsidRDefault="009A6767" w:rsidP="009A6767">
            <w:pPr>
              <w:pStyle w:val="BodyText"/>
              <w:numPr>
                <w:ilvl w:val="0"/>
                <w:numId w:val="32"/>
              </w:numPr>
              <w:spacing w:before="7"/>
              <w:rPr>
                <w:rFonts w:ascii="Arial" w:hAnsi="Arial" w:cs="Arial"/>
                <w:bCs/>
                <w:szCs w:val="24"/>
                <w:lang w:val="en-US"/>
              </w:rPr>
            </w:pPr>
            <w:r w:rsidRPr="009A6767">
              <w:rPr>
                <w:rFonts w:ascii="Arial" w:hAnsi="Arial" w:cs="Arial"/>
                <w:bCs/>
                <w:szCs w:val="24"/>
              </w:rPr>
              <w:t xml:space="preserve">As a large Metropolitan County, West Yorkshire has some significant socio-economic challenges, which can be risk factors for crime, harm and demand, which may worsen as a result of economic pressures.  This may lead to an increase in demand in areas which already experience a disproportionate amount of crime.  </w:t>
            </w:r>
          </w:p>
          <w:p w14:paraId="4C2A8513" w14:textId="77777777" w:rsidR="009A6767" w:rsidRPr="009A6767" w:rsidRDefault="009A6767" w:rsidP="009A6767">
            <w:pPr>
              <w:pStyle w:val="BodyText"/>
              <w:numPr>
                <w:ilvl w:val="0"/>
                <w:numId w:val="32"/>
              </w:numPr>
              <w:spacing w:before="7"/>
              <w:rPr>
                <w:rFonts w:ascii="Arial" w:hAnsi="Arial" w:cs="Arial"/>
                <w:bCs/>
                <w:szCs w:val="24"/>
              </w:rPr>
            </w:pPr>
            <w:r w:rsidRPr="009A6767">
              <w:rPr>
                <w:rFonts w:ascii="Arial" w:hAnsi="Arial" w:cs="Arial"/>
                <w:bCs/>
                <w:szCs w:val="24"/>
              </w:rPr>
              <w:t xml:space="preserve">Around one third of West Yorkshire’s population live in neighbourhoods in the 20% most deprived nationally, with up to 18% living in the top 10%.   Both unemployment and the proportion of jobs paying below the Real Living Wage are above the national average. </w:t>
            </w:r>
          </w:p>
          <w:p w14:paraId="163FFE33" w14:textId="77777777" w:rsidR="009A6767" w:rsidRPr="009A6767" w:rsidRDefault="009A6767" w:rsidP="009A6767">
            <w:pPr>
              <w:pStyle w:val="BodyText"/>
              <w:numPr>
                <w:ilvl w:val="0"/>
                <w:numId w:val="32"/>
              </w:numPr>
              <w:spacing w:before="7"/>
              <w:rPr>
                <w:rFonts w:ascii="Arial" w:hAnsi="Arial" w:cs="Arial"/>
                <w:bCs/>
                <w:szCs w:val="24"/>
              </w:rPr>
            </w:pPr>
            <w:r w:rsidRPr="009A6767">
              <w:rPr>
                <w:rFonts w:ascii="Arial" w:hAnsi="Arial" w:cs="Arial"/>
                <w:bCs/>
                <w:szCs w:val="24"/>
              </w:rPr>
              <w:t xml:space="preserve">The County has a high poverty rate and in the three bigger Districts over a third of children are growing up in poverty. </w:t>
            </w:r>
          </w:p>
          <w:p w14:paraId="3007AB44" w14:textId="77777777" w:rsidR="009A6767" w:rsidRPr="009A6767" w:rsidRDefault="009A6767" w:rsidP="009A6767">
            <w:pPr>
              <w:pStyle w:val="BodyText"/>
              <w:numPr>
                <w:ilvl w:val="0"/>
                <w:numId w:val="32"/>
              </w:numPr>
              <w:spacing w:before="7"/>
              <w:rPr>
                <w:rFonts w:ascii="Arial" w:hAnsi="Arial" w:cs="Arial"/>
                <w:bCs/>
                <w:szCs w:val="24"/>
              </w:rPr>
            </w:pPr>
            <w:r w:rsidRPr="009A6767">
              <w:rPr>
                <w:rFonts w:ascii="Arial" w:hAnsi="Arial" w:cs="Arial"/>
                <w:bCs/>
                <w:szCs w:val="24"/>
              </w:rPr>
              <w:t xml:space="preserve">West Yorkshire has higher rates of children in care and higher rates of children on child protection plans, lower life expectancy and higher rates of suicide than the national average.   </w:t>
            </w:r>
          </w:p>
        </w:tc>
      </w:tr>
      <w:tr w:rsidR="009A6767" w:rsidRPr="009A6767" w14:paraId="20D43A5F" w14:textId="77777777" w:rsidTr="009A6767">
        <w:trPr>
          <w:trHeight w:val="1078"/>
        </w:trPr>
        <w:tc>
          <w:tcPr>
            <w:tcW w:w="1897" w:type="dxa"/>
            <w:tcBorders>
              <w:top w:val="single" w:sz="4" w:space="0" w:color="auto"/>
              <w:left w:val="single" w:sz="4" w:space="0" w:color="auto"/>
              <w:bottom w:val="single" w:sz="4" w:space="0" w:color="auto"/>
              <w:right w:val="single" w:sz="4" w:space="0" w:color="auto"/>
            </w:tcBorders>
            <w:hideMark/>
          </w:tcPr>
          <w:p w14:paraId="51E48F4E"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Calls for Service</w:t>
            </w:r>
          </w:p>
        </w:tc>
        <w:tc>
          <w:tcPr>
            <w:tcW w:w="7176" w:type="dxa"/>
            <w:tcBorders>
              <w:top w:val="single" w:sz="4" w:space="0" w:color="auto"/>
              <w:left w:val="single" w:sz="4" w:space="0" w:color="auto"/>
              <w:bottom w:val="single" w:sz="4" w:space="0" w:color="auto"/>
              <w:right w:val="single" w:sz="4" w:space="0" w:color="auto"/>
            </w:tcBorders>
            <w:hideMark/>
          </w:tcPr>
          <w:p w14:paraId="485A8D82" w14:textId="77777777" w:rsidR="009A6767" w:rsidRPr="009A6767" w:rsidRDefault="009A6767" w:rsidP="009A6767">
            <w:pPr>
              <w:pStyle w:val="BodyText"/>
              <w:numPr>
                <w:ilvl w:val="0"/>
                <w:numId w:val="32"/>
              </w:numPr>
              <w:spacing w:before="7"/>
              <w:rPr>
                <w:rFonts w:ascii="Arial" w:hAnsi="Arial" w:cs="Arial"/>
                <w:bCs/>
                <w:szCs w:val="24"/>
                <w:lang w:val="en-US"/>
              </w:rPr>
            </w:pPr>
            <w:r w:rsidRPr="009A6767">
              <w:rPr>
                <w:rFonts w:ascii="Arial" w:hAnsi="Arial" w:cs="Arial"/>
                <w:bCs/>
                <w:szCs w:val="24"/>
              </w:rPr>
              <w:t>Demand remains high, as the Force has higher than average incidents per 1,000 population and has the third highest rate of 999 calls per 1000 population.</w:t>
            </w:r>
          </w:p>
          <w:p w14:paraId="54F39CD3" w14:textId="77777777" w:rsidR="009A6767" w:rsidRPr="009A6767" w:rsidRDefault="009A6767" w:rsidP="009A6767">
            <w:pPr>
              <w:pStyle w:val="BodyText"/>
              <w:numPr>
                <w:ilvl w:val="0"/>
                <w:numId w:val="32"/>
              </w:numPr>
              <w:spacing w:before="7"/>
              <w:rPr>
                <w:rFonts w:ascii="Arial" w:hAnsi="Arial" w:cs="Arial"/>
                <w:bCs/>
                <w:szCs w:val="24"/>
              </w:rPr>
            </w:pPr>
            <w:r w:rsidRPr="009A6767">
              <w:rPr>
                <w:rFonts w:ascii="Arial" w:hAnsi="Arial" w:cs="Arial"/>
                <w:bCs/>
                <w:szCs w:val="24"/>
              </w:rPr>
              <w:t>Whilst 999 calls have reduced over the last 12 months, they account for a growing proportion of all calls for service (34% compared to 28% in 2018).</w:t>
            </w:r>
          </w:p>
        </w:tc>
      </w:tr>
      <w:tr w:rsidR="009A6767" w:rsidRPr="009A6767" w14:paraId="6CD69668"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08D021B0"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Public Confidence</w:t>
            </w:r>
          </w:p>
        </w:tc>
        <w:tc>
          <w:tcPr>
            <w:tcW w:w="7176" w:type="dxa"/>
            <w:tcBorders>
              <w:top w:val="single" w:sz="4" w:space="0" w:color="auto"/>
              <w:left w:val="single" w:sz="4" w:space="0" w:color="auto"/>
              <w:bottom w:val="single" w:sz="4" w:space="0" w:color="auto"/>
              <w:right w:val="single" w:sz="4" w:space="0" w:color="auto"/>
            </w:tcBorders>
            <w:hideMark/>
          </w:tcPr>
          <w:p w14:paraId="33A901E1" w14:textId="77777777" w:rsidR="009A6767" w:rsidRPr="009A6767" w:rsidRDefault="009A6767" w:rsidP="009A6767">
            <w:pPr>
              <w:pStyle w:val="BodyText"/>
              <w:numPr>
                <w:ilvl w:val="0"/>
                <w:numId w:val="32"/>
              </w:numPr>
              <w:rPr>
                <w:rFonts w:ascii="Arial" w:hAnsi="Arial" w:cs="Arial"/>
                <w:bCs/>
                <w:szCs w:val="24"/>
                <w:lang w:val="en-US"/>
              </w:rPr>
            </w:pPr>
            <w:r w:rsidRPr="009A6767">
              <w:rPr>
                <w:rFonts w:ascii="Arial" w:hAnsi="Arial" w:cs="Arial"/>
                <w:bCs/>
                <w:szCs w:val="24"/>
              </w:rPr>
              <w:t xml:space="preserve">Whilst public confidence has seen a marginal improvement over the last 12 months, levels are still below the MSG and national average.  </w:t>
            </w:r>
          </w:p>
          <w:p w14:paraId="75B9DD44" w14:textId="77777777" w:rsidR="009A6767" w:rsidRPr="009A6767" w:rsidRDefault="009A6767" w:rsidP="009A6767">
            <w:pPr>
              <w:pStyle w:val="BodyText"/>
              <w:numPr>
                <w:ilvl w:val="0"/>
                <w:numId w:val="32"/>
              </w:numPr>
              <w:rPr>
                <w:rFonts w:ascii="Arial" w:hAnsi="Arial" w:cs="Arial"/>
                <w:bCs/>
                <w:szCs w:val="24"/>
                <w:lang w:val="en-US"/>
              </w:rPr>
            </w:pPr>
            <w:r w:rsidRPr="009A6767">
              <w:rPr>
                <w:rFonts w:ascii="Arial" w:hAnsi="Arial" w:cs="Arial"/>
                <w:bCs/>
                <w:szCs w:val="24"/>
                <w:lang w:val="en-US"/>
              </w:rPr>
              <w:t xml:space="preserve">Positively, the Force has seen improvement around the police being reliable and respectful, where Force performance is better than both the MSG and national average. </w:t>
            </w:r>
          </w:p>
          <w:p w14:paraId="766A734F" w14:textId="77777777" w:rsidR="009A6767" w:rsidRPr="009A6767" w:rsidRDefault="009A6767" w:rsidP="009A6767">
            <w:pPr>
              <w:pStyle w:val="BodyText"/>
              <w:numPr>
                <w:ilvl w:val="0"/>
                <w:numId w:val="32"/>
              </w:numPr>
              <w:rPr>
                <w:rFonts w:ascii="Arial" w:hAnsi="Arial" w:cs="Arial"/>
                <w:bCs/>
                <w:szCs w:val="24"/>
                <w:lang w:val="en-US"/>
              </w:rPr>
            </w:pPr>
            <w:r w:rsidRPr="009A6767">
              <w:rPr>
                <w:rFonts w:ascii="Arial" w:hAnsi="Arial" w:cs="Arial"/>
                <w:bCs/>
                <w:szCs w:val="24"/>
              </w:rPr>
              <w:t xml:space="preserve">Dealing with local concerns is a key factor impacting on confidence and for West Yorkshire Police this is 45.5%, which is below the MSG and national average (48.3%).  </w:t>
            </w:r>
            <w:r w:rsidRPr="009A6767">
              <w:rPr>
                <w:rFonts w:ascii="Arial" w:hAnsi="Arial" w:cs="Arial"/>
                <w:bCs/>
                <w:szCs w:val="24"/>
                <w:lang w:val="en-US"/>
              </w:rPr>
              <w:t xml:space="preserve">   </w:t>
            </w:r>
          </w:p>
        </w:tc>
      </w:tr>
      <w:tr w:rsidR="009A6767" w:rsidRPr="009A6767" w14:paraId="6648168C"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F550598"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Hate Crime</w:t>
            </w:r>
          </w:p>
        </w:tc>
        <w:tc>
          <w:tcPr>
            <w:tcW w:w="7176" w:type="dxa"/>
            <w:tcBorders>
              <w:top w:val="single" w:sz="4" w:space="0" w:color="auto"/>
              <w:left w:val="single" w:sz="4" w:space="0" w:color="auto"/>
              <w:bottom w:val="single" w:sz="4" w:space="0" w:color="auto"/>
              <w:right w:val="single" w:sz="4" w:space="0" w:color="auto"/>
            </w:tcBorders>
            <w:hideMark/>
          </w:tcPr>
          <w:p w14:paraId="7BC4951F" w14:textId="77777777" w:rsidR="009A6767" w:rsidRPr="009A6767" w:rsidRDefault="009A6767" w:rsidP="009A6767">
            <w:pPr>
              <w:pStyle w:val="BodyText"/>
              <w:numPr>
                <w:ilvl w:val="0"/>
                <w:numId w:val="33"/>
              </w:numPr>
              <w:spacing w:before="7"/>
              <w:rPr>
                <w:rFonts w:ascii="Arial" w:hAnsi="Arial" w:cs="Arial"/>
                <w:bCs/>
                <w:szCs w:val="24"/>
                <w:lang w:val="en-US"/>
              </w:rPr>
            </w:pPr>
            <w:r w:rsidRPr="009A6767">
              <w:rPr>
                <w:rFonts w:ascii="Arial" w:hAnsi="Arial" w:cs="Arial"/>
                <w:bCs/>
                <w:szCs w:val="24"/>
              </w:rPr>
              <w:t>Following a reduction over the last two years, hate incidents are now stable.  There has been an increase in faith hate incidents over the last 12 months, likely linked to the ongoing Middle East conflict.</w:t>
            </w:r>
          </w:p>
          <w:p w14:paraId="3F99BEAC" w14:textId="77777777" w:rsidR="009A6767" w:rsidRPr="009A6767" w:rsidRDefault="009A6767" w:rsidP="009A6767">
            <w:pPr>
              <w:pStyle w:val="BodyText"/>
              <w:numPr>
                <w:ilvl w:val="0"/>
                <w:numId w:val="32"/>
              </w:numPr>
              <w:rPr>
                <w:rFonts w:ascii="Arial" w:hAnsi="Arial" w:cs="Arial"/>
                <w:bCs/>
                <w:szCs w:val="24"/>
              </w:rPr>
            </w:pPr>
            <w:r w:rsidRPr="009A6767">
              <w:rPr>
                <w:rFonts w:ascii="Arial" w:hAnsi="Arial" w:cs="Arial"/>
                <w:bCs/>
                <w:szCs w:val="24"/>
                <w:lang w:val="en-US"/>
              </w:rPr>
              <w:t>FMS projections indicate a 10.5% increase in hate crime over the next four years, with international factors and events, likely to continue to impact on hate crime.</w:t>
            </w:r>
          </w:p>
          <w:p w14:paraId="0834A26E" w14:textId="77777777" w:rsidR="009A6767" w:rsidRPr="009A6767" w:rsidRDefault="009A6767" w:rsidP="009A6767">
            <w:pPr>
              <w:pStyle w:val="BodyText"/>
              <w:numPr>
                <w:ilvl w:val="0"/>
                <w:numId w:val="32"/>
              </w:numPr>
              <w:rPr>
                <w:rFonts w:ascii="Arial" w:hAnsi="Arial" w:cs="Arial"/>
                <w:bCs/>
                <w:szCs w:val="24"/>
              </w:rPr>
            </w:pPr>
            <w:r w:rsidRPr="009A6767">
              <w:rPr>
                <w:rFonts w:ascii="Arial" w:hAnsi="Arial" w:cs="Arial"/>
                <w:bCs/>
                <w:szCs w:val="24"/>
                <w:lang w:val="en-US"/>
              </w:rPr>
              <w:t>Hate crime satisfaction is deteriorating and is one of the lowest levels of all crime/incident types surveyed.</w:t>
            </w:r>
          </w:p>
        </w:tc>
      </w:tr>
      <w:tr w:rsidR="009A6767" w:rsidRPr="009A6767" w14:paraId="692CB91A"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695E8B9"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Crime</w:t>
            </w:r>
          </w:p>
        </w:tc>
        <w:tc>
          <w:tcPr>
            <w:tcW w:w="7176" w:type="dxa"/>
            <w:tcBorders>
              <w:top w:val="single" w:sz="4" w:space="0" w:color="auto"/>
              <w:left w:val="single" w:sz="4" w:space="0" w:color="auto"/>
              <w:bottom w:val="single" w:sz="4" w:space="0" w:color="auto"/>
              <w:right w:val="single" w:sz="4" w:space="0" w:color="auto"/>
            </w:tcBorders>
            <w:hideMark/>
          </w:tcPr>
          <w:p w14:paraId="700E08AD" w14:textId="77777777" w:rsidR="009A6767" w:rsidRPr="009A6767" w:rsidRDefault="009A6767" w:rsidP="009A6767">
            <w:pPr>
              <w:pStyle w:val="BodyText"/>
              <w:numPr>
                <w:ilvl w:val="0"/>
                <w:numId w:val="33"/>
              </w:numPr>
              <w:spacing w:before="7"/>
              <w:rPr>
                <w:rFonts w:ascii="Arial" w:hAnsi="Arial" w:cs="Arial"/>
                <w:bCs/>
                <w:szCs w:val="24"/>
                <w:lang w:val="en-US"/>
              </w:rPr>
            </w:pPr>
            <w:r w:rsidRPr="009A6767">
              <w:rPr>
                <w:rFonts w:ascii="Arial" w:hAnsi="Arial" w:cs="Arial"/>
                <w:bCs/>
                <w:szCs w:val="24"/>
              </w:rPr>
              <w:t>The Force continues to have the second highest crime rate in the MSG and country although this is within the context of being graded as ‘Outstanding’ for crime recording (West Yorkshire Police is one of five forces nationally and the only Force in the MSG to be graded as ‘Outstanding’ in the latest PEEL inspections so far).</w:t>
            </w:r>
          </w:p>
          <w:p w14:paraId="656FBE45"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 xml:space="preserve">After reaching its highest level in FMS5, total crime has reduced over the last 12 months, and is in line with the December 2019 baseline.   However, some crime types continue to increase as a result of crime recording </w:t>
            </w:r>
            <w:r w:rsidRPr="009A6767">
              <w:rPr>
                <w:rFonts w:ascii="Arial" w:hAnsi="Arial" w:cs="Arial"/>
                <w:bCs/>
                <w:szCs w:val="24"/>
              </w:rPr>
              <w:lastRenderedPageBreak/>
              <w:t>changes including offences such as stalking and harassment and public order.  Other offence types reporting increases include violence without injury and sexual offences.   Increases in possession of weapons and trafficking of drugs, reflect a strong and proactive focus of the Force on these areas.</w:t>
            </w:r>
          </w:p>
          <w:p w14:paraId="0AE34CCA"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 xml:space="preserve">Over the last 12 months all types of neighbourhood crime (other than theft of vehicles) have increased and are projected to continue to increase.  However, key priority areas (burglary, robbery, theft from vehicle), remain significantly below the December 2019 baseline.    </w:t>
            </w:r>
          </w:p>
          <w:p w14:paraId="4D058E31"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Shoplifting continues to increase and is now 21.3% higher than the December 2019 baseline and at the highest level.  The increasing national focus on this crime is potentially leading to an increase in what is likely to have previously been under-reported.  There remain links to vulnerabilities such as drugs and alcohol.</w:t>
            </w:r>
          </w:p>
        </w:tc>
      </w:tr>
      <w:tr w:rsidR="009A6767" w:rsidRPr="009A6767" w14:paraId="04ACEDE1"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3C60956"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 xml:space="preserve">Outcomes </w:t>
            </w:r>
          </w:p>
        </w:tc>
        <w:tc>
          <w:tcPr>
            <w:tcW w:w="7176" w:type="dxa"/>
            <w:tcBorders>
              <w:top w:val="single" w:sz="4" w:space="0" w:color="auto"/>
              <w:left w:val="single" w:sz="4" w:space="0" w:color="auto"/>
              <w:bottom w:val="single" w:sz="4" w:space="0" w:color="auto"/>
              <w:right w:val="single" w:sz="4" w:space="0" w:color="auto"/>
            </w:tcBorders>
            <w:hideMark/>
          </w:tcPr>
          <w:p w14:paraId="0F6121DB"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rPr>
              <w:t>The Force continues to have Offences Brought to Justice (OBTJ) rates that are below the MSG and national average.</w:t>
            </w:r>
          </w:p>
          <w:p w14:paraId="1C5C7A8B" w14:textId="77777777" w:rsidR="009A6767" w:rsidRPr="009A6767" w:rsidRDefault="009A6767" w:rsidP="009A6767">
            <w:pPr>
              <w:pStyle w:val="BodyText"/>
              <w:numPr>
                <w:ilvl w:val="0"/>
                <w:numId w:val="34"/>
              </w:numPr>
              <w:spacing w:before="7"/>
              <w:rPr>
                <w:rFonts w:ascii="Arial" w:hAnsi="Arial" w:cs="Arial"/>
                <w:bCs/>
                <w:szCs w:val="24"/>
              </w:rPr>
            </w:pPr>
            <w:r w:rsidRPr="009A6767">
              <w:rPr>
                <w:rFonts w:ascii="Arial" w:hAnsi="Arial" w:cs="Arial"/>
                <w:bCs/>
                <w:szCs w:val="24"/>
              </w:rPr>
              <w:t xml:space="preserve">Significant focus is now being given to increasing the number of positive outcomes, with particular focus on improving outcomes for domestic abuse victims.   </w:t>
            </w:r>
          </w:p>
          <w:p w14:paraId="22D5F1E0"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Investigation times are improving but these are also above the MSG and national average.</w:t>
            </w:r>
          </w:p>
        </w:tc>
      </w:tr>
      <w:tr w:rsidR="009A6767" w:rsidRPr="009A6767" w14:paraId="714B4A39"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92E797F"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 xml:space="preserve">Investigations, Criminal Justice and custody </w:t>
            </w:r>
          </w:p>
        </w:tc>
        <w:tc>
          <w:tcPr>
            <w:tcW w:w="7176" w:type="dxa"/>
            <w:tcBorders>
              <w:top w:val="single" w:sz="4" w:space="0" w:color="auto"/>
              <w:left w:val="single" w:sz="4" w:space="0" w:color="auto"/>
              <w:bottom w:val="single" w:sz="4" w:space="0" w:color="auto"/>
              <w:right w:val="single" w:sz="4" w:space="0" w:color="auto"/>
            </w:tcBorders>
            <w:hideMark/>
          </w:tcPr>
          <w:p w14:paraId="06F7F626" w14:textId="77777777" w:rsidR="009A6767" w:rsidRPr="009A6767" w:rsidRDefault="009A6767" w:rsidP="009A6767">
            <w:pPr>
              <w:pStyle w:val="BodyText"/>
              <w:numPr>
                <w:ilvl w:val="0"/>
                <w:numId w:val="33"/>
              </w:numPr>
              <w:spacing w:before="7"/>
              <w:rPr>
                <w:rFonts w:ascii="Arial" w:hAnsi="Arial" w:cs="Arial"/>
                <w:bCs/>
                <w:szCs w:val="24"/>
                <w:lang w:val="en-US"/>
              </w:rPr>
            </w:pPr>
            <w:r w:rsidRPr="009A6767">
              <w:rPr>
                <w:rFonts w:ascii="Arial" w:hAnsi="Arial" w:cs="Arial"/>
                <w:bCs/>
                <w:szCs w:val="24"/>
              </w:rPr>
              <w:t xml:space="preserve">The Force has been graded as ‘Requires Improvement’ in the latest HMICFRS Inspection for Investigations and in line with a large proportion of forces has Areas for Improvement (AFIs) around outcomes, supervisory oversight of investigations and compliance with the Victims Code of Practice (VCOPs). </w:t>
            </w:r>
          </w:p>
          <w:p w14:paraId="71AAD0C4"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 xml:space="preserve">In line with the national position, the Force has a detective gap which is not expected to close until January 2027.  This is influenced by the time it </w:t>
            </w:r>
            <w:proofErr w:type="spellStart"/>
            <w:r w:rsidRPr="009A6767">
              <w:rPr>
                <w:rFonts w:ascii="Arial" w:hAnsi="Arial" w:cs="Arial"/>
                <w:bCs/>
                <w:szCs w:val="24"/>
              </w:rPr>
              <w:t>rakes</w:t>
            </w:r>
            <w:proofErr w:type="spellEnd"/>
            <w:r w:rsidRPr="009A6767">
              <w:rPr>
                <w:rFonts w:ascii="Arial" w:hAnsi="Arial" w:cs="Arial"/>
                <w:bCs/>
                <w:szCs w:val="24"/>
              </w:rPr>
              <w:t xml:space="preserve"> to complete the PCEP DC course and a lack of candidates opting for this ‘swim lane’ through the PEQF route.</w:t>
            </w:r>
          </w:p>
          <w:p w14:paraId="4117DB8D"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 xml:space="preserve">Lack of capacity, inexperience and workloads are key issues impacting on investigative functions.  </w:t>
            </w:r>
          </w:p>
          <w:p w14:paraId="4B4E7CE0"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Criminal Justice demand remains high and volume, complexity of file build and inexperience means there is an ongoing need to improve standards of investigations.</w:t>
            </w:r>
          </w:p>
          <w:p w14:paraId="1D197040"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There remain a number of criminal justice pressures facing the Force which are also national issues.  These include delays and backlogs in the criminal justice system, delays in obtaining charging advice, increased workload in respect of case files, redaction burdens, prison capacity, timeliness of investigations and victim attrition.</w:t>
            </w:r>
          </w:p>
          <w:p w14:paraId="73F3F6AD" w14:textId="77777777" w:rsidR="009A6767" w:rsidRPr="009A6767" w:rsidRDefault="009A6767" w:rsidP="009A6767">
            <w:pPr>
              <w:pStyle w:val="BodyText"/>
              <w:numPr>
                <w:ilvl w:val="0"/>
                <w:numId w:val="33"/>
              </w:numPr>
              <w:spacing w:before="7"/>
              <w:rPr>
                <w:rFonts w:ascii="Arial" w:hAnsi="Arial" w:cs="Arial"/>
                <w:bCs/>
                <w:szCs w:val="24"/>
              </w:rPr>
            </w:pPr>
            <w:r w:rsidRPr="009A6767">
              <w:rPr>
                <w:rFonts w:ascii="Arial" w:hAnsi="Arial" w:cs="Arial"/>
                <w:bCs/>
                <w:szCs w:val="24"/>
              </w:rPr>
              <w:t xml:space="preserve">Custody throughput continues to increase and is at the highest level.  The strong focus on outstanding suspects, investigations and outcomes is projected to lead to an increase in primary arrests, overall custody throughput, investigative demand and criminal justice demand.  </w:t>
            </w:r>
          </w:p>
        </w:tc>
      </w:tr>
      <w:tr w:rsidR="009A6767" w:rsidRPr="009A6767" w14:paraId="2F7ED804"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06B64D1"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 xml:space="preserve">Online/digital investigative demand </w:t>
            </w:r>
          </w:p>
        </w:tc>
        <w:tc>
          <w:tcPr>
            <w:tcW w:w="7176" w:type="dxa"/>
            <w:tcBorders>
              <w:top w:val="single" w:sz="4" w:space="0" w:color="auto"/>
              <w:left w:val="single" w:sz="4" w:space="0" w:color="auto"/>
              <w:bottom w:val="single" w:sz="4" w:space="0" w:color="auto"/>
              <w:right w:val="single" w:sz="4" w:space="0" w:color="auto"/>
            </w:tcBorders>
            <w:hideMark/>
          </w:tcPr>
          <w:p w14:paraId="6307865B"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rPr>
              <w:t xml:space="preserve">‘Online is the new frontline’ given the opportunities technology provides criminality, which cuts across the full range of crime and demand (serious and organised crime, sexual offending, terrorism, VAWG, CSEA).  It is assessed that around 90% of crimes have a digital element. </w:t>
            </w:r>
          </w:p>
          <w:p w14:paraId="32BA4892" w14:textId="77777777" w:rsidR="009A6767" w:rsidRPr="009A6767" w:rsidRDefault="009A6767" w:rsidP="009A6767">
            <w:pPr>
              <w:pStyle w:val="BodyText"/>
              <w:numPr>
                <w:ilvl w:val="0"/>
                <w:numId w:val="34"/>
              </w:numPr>
              <w:spacing w:before="7"/>
              <w:rPr>
                <w:rFonts w:ascii="Arial" w:hAnsi="Arial" w:cs="Arial"/>
                <w:bCs/>
                <w:szCs w:val="24"/>
              </w:rPr>
            </w:pPr>
            <w:r w:rsidRPr="009A6767">
              <w:rPr>
                <w:rFonts w:ascii="Arial" w:hAnsi="Arial" w:cs="Arial"/>
                <w:bCs/>
                <w:szCs w:val="24"/>
              </w:rPr>
              <w:t xml:space="preserve">This increases demand for a range of policing functions including Digital Forensics Unit (DFU), Communications Data Investigation Unit (CDIU) and Online Child Abuse Investigation Teams (OCAIT).  Technological advances are also creating opportunities for policing meaning increasing and complex digital investigative demand for policing.  Demand is predicted to increase with particular growth around Artificial Intelligence, facial recognition, CCTV, vehicle forensics and cloud data. </w:t>
            </w:r>
          </w:p>
        </w:tc>
      </w:tr>
      <w:tr w:rsidR="009A6767" w:rsidRPr="009A6767" w14:paraId="5A9729E3"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3031D62A"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 xml:space="preserve">Domestic Abuse </w:t>
            </w:r>
          </w:p>
        </w:tc>
        <w:tc>
          <w:tcPr>
            <w:tcW w:w="7176" w:type="dxa"/>
            <w:tcBorders>
              <w:top w:val="single" w:sz="4" w:space="0" w:color="auto"/>
              <w:left w:val="single" w:sz="4" w:space="0" w:color="auto"/>
              <w:bottom w:val="single" w:sz="4" w:space="0" w:color="auto"/>
              <w:right w:val="single" w:sz="4" w:space="0" w:color="auto"/>
            </w:tcBorders>
            <w:hideMark/>
          </w:tcPr>
          <w:p w14:paraId="02F1D264"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rPr>
              <w:t xml:space="preserve">Whilst incidents continue to reduce, domestic abuse remains one of the most significant demand pressures/risks facing for the Force and West Yorkshire has the fourth highest rate of incidents per 1000 population nationally. </w:t>
            </w:r>
          </w:p>
          <w:p w14:paraId="12210499"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rPr>
              <w:t xml:space="preserve">There are links between domestic abuse and other VAWG offences.  Over 90% of stalking and harassment incidents are domestic related and West Yorkshire has the second highest rate nationally for domestic-related stalking and harassment incidents per 1000 population.  A large proportion of honour based abuse relates to  </w:t>
            </w:r>
            <w:r w:rsidRPr="009A6767">
              <w:rPr>
                <w:rFonts w:ascii="Arial" w:hAnsi="Arial" w:cs="Arial"/>
                <w:bCs/>
                <w:szCs w:val="24"/>
                <w:lang w:val="en-US"/>
              </w:rPr>
              <w:t xml:space="preserve">domestic abuse and harassment offences and the Force has the third highest rate of </w:t>
            </w:r>
            <w:proofErr w:type="spellStart"/>
            <w:r w:rsidRPr="009A6767">
              <w:rPr>
                <w:rFonts w:ascii="Arial" w:hAnsi="Arial" w:cs="Arial"/>
                <w:bCs/>
                <w:szCs w:val="24"/>
                <w:lang w:val="en-US"/>
              </w:rPr>
              <w:t>honour</w:t>
            </w:r>
            <w:proofErr w:type="spellEnd"/>
            <w:r w:rsidRPr="009A6767">
              <w:rPr>
                <w:rFonts w:ascii="Arial" w:hAnsi="Arial" w:cs="Arial"/>
                <w:bCs/>
                <w:szCs w:val="24"/>
                <w:lang w:val="en-US"/>
              </w:rPr>
              <w:t xml:space="preserve"> based violence incidents per 1000 population. </w:t>
            </w:r>
            <w:r w:rsidRPr="009A6767">
              <w:rPr>
                <w:rFonts w:ascii="Arial" w:hAnsi="Arial" w:cs="Arial"/>
                <w:bCs/>
                <w:szCs w:val="24"/>
              </w:rPr>
              <w:t xml:space="preserve"> </w:t>
            </w:r>
          </w:p>
          <w:p w14:paraId="17BA12E4"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rPr>
              <w:t>There are links between domestic abuse and violence and a third of homicides are domestic related.</w:t>
            </w:r>
          </w:p>
          <w:p w14:paraId="58736CE0"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rPr>
              <w:t>Despite significant investment over the last few years, demand on Domestic Abuse Teams remains high and inexperience and turnover of staff are key issues.</w:t>
            </w:r>
          </w:p>
          <w:p w14:paraId="5F24A21E"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lang w:val="en-US"/>
              </w:rPr>
              <w:t xml:space="preserve">Demand around domestic abuse will remain high and also more complex.  Offences of coercive and controlling </w:t>
            </w:r>
            <w:proofErr w:type="spellStart"/>
            <w:r w:rsidRPr="009A6767">
              <w:rPr>
                <w:rFonts w:ascii="Arial" w:hAnsi="Arial" w:cs="Arial"/>
                <w:bCs/>
                <w:szCs w:val="24"/>
                <w:lang w:val="en-US"/>
              </w:rPr>
              <w:t>behaviour</w:t>
            </w:r>
            <w:proofErr w:type="spellEnd"/>
            <w:r w:rsidRPr="009A6767">
              <w:rPr>
                <w:rFonts w:ascii="Arial" w:hAnsi="Arial" w:cs="Arial"/>
                <w:bCs/>
                <w:szCs w:val="24"/>
                <w:lang w:val="en-US"/>
              </w:rPr>
              <w:t xml:space="preserve"> are predicted to increase. </w:t>
            </w:r>
          </w:p>
          <w:p w14:paraId="1B6C4373"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lang w:val="en-US"/>
              </w:rPr>
              <w:t xml:space="preserve">The strong and continued focus on domestic abuse both locally and nationally particularly through the Government’s Safer Streets Mission is likely to lead to an increase in reporting but also bringing more offences to justice in the longer term.  </w:t>
            </w:r>
          </w:p>
          <w:p w14:paraId="2364517F" w14:textId="77777777" w:rsidR="009A6767" w:rsidRPr="009A6767" w:rsidRDefault="009A6767" w:rsidP="009A6767">
            <w:pPr>
              <w:pStyle w:val="BodyText"/>
              <w:numPr>
                <w:ilvl w:val="0"/>
                <w:numId w:val="35"/>
              </w:numPr>
              <w:rPr>
                <w:rFonts w:ascii="Arial" w:hAnsi="Arial" w:cs="Arial"/>
                <w:bCs/>
                <w:szCs w:val="24"/>
              </w:rPr>
            </w:pPr>
            <w:r w:rsidRPr="009A6767">
              <w:rPr>
                <w:rFonts w:ascii="Arial" w:hAnsi="Arial" w:cs="Arial"/>
                <w:bCs/>
                <w:szCs w:val="24"/>
                <w:lang w:val="en-US"/>
              </w:rPr>
              <w:t xml:space="preserve">Investigative demand around domestic abuse and VAWG offences will remain high as the Force seeks to improve outcomes for victims.  An area of risk is the lack of perpetrator </w:t>
            </w:r>
            <w:proofErr w:type="spellStart"/>
            <w:r w:rsidRPr="009A6767">
              <w:rPr>
                <w:rFonts w:ascii="Arial" w:hAnsi="Arial" w:cs="Arial"/>
                <w:bCs/>
                <w:szCs w:val="24"/>
                <w:lang w:val="en-US"/>
              </w:rPr>
              <w:t>programmes</w:t>
            </w:r>
            <w:proofErr w:type="spellEnd"/>
            <w:r w:rsidRPr="009A6767">
              <w:rPr>
                <w:rFonts w:ascii="Arial" w:hAnsi="Arial" w:cs="Arial"/>
                <w:bCs/>
                <w:szCs w:val="24"/>
                <w:lang w:val="en-US"/>
              </w:rPr>
              <w:t xml:space="preserve"> beyond standard risk, when there is a strong focus nationally on pursue and management of perpetrators. </w:t>
            </w:r>
          </w:p>
        </w:tc>
      </w:tr>
      <w:tr w:rsidR="009A6767" w:rsidRPr="009A6767" w14:paraId="3E1FF2AF"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42EBE81"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Rape and Serious Sexual Offences (RASSO)</w:t>
            </w:r>
          </w:p>
        </w:tc>
        <w:tc>
          <w:tcPr>
            <w:tcW w:w="7176" w:type="dxa"/>
            <w:tcBorders>
              <w:top w:val="single" w:sz="4" w:space="0" w:color="auto"/>
              <w:left w:val="single" w:sz="4" w:space="0" w:color="auto"/>
              <w:bottom w:val="single" w:sz="4" w:space="0" w:color="auto"/>
              <w:right w:val="single" w:sz="4" w:space="0" w:color="auto"/>
            </w:tcBorders>
            <w:hideMark/>
          </w:tcPr>
          <w:p w14:paraId="404F6149" w14:textId="77777777" w:rsidR="009A6767" w:rsidRPr="009A6767" w:rsidRDefault="009A6767" w:rsidP="009A6767">
            <w:pPr>
              <w:pStyle w:val="BodyText"/>
              <w:numPr>
                <w:ilvl w:val="0"/>
                <w:numId w:val="36"/>
              </w:numPr>
              <w:spacing w:before="7"/>
              <w:rPr>
                <w:rFonts w:ascii="Arial" w:hAnsi="Arial" w:cs="Arial"/>
                <w:bCs/>
                <w:szCs w:val="24"/>
                <w:lang w:val="en-US"/>
              </w:rPr>
            </w:pPr>
            <w:r w:rsidRPr="009A6767">
              <w:rPr>
                <w:rFonts w:ascii="Arial" w:hAnsi="Arial" w:cs="Arial"/>
                <w:bCs/>
                <w:szCs w:val="24"/>
                <w:lang w:val="en-US"/>
              </w:rPr>
              <w:t xml:space="preserve">Both rape and sexual offences have increased over the last 12 months and are projected to increase over the next four years. </w:t>
            </w:r>
          </w:p>
          <w:p w14:paraId="40540244" w14:textId="77777777" w:rsidR="009A6767" w:rsidRPr="009A6767" w:rsidRDefault="009A6767" w:rsidP="009A6767">
            <w:pPr>
              <w:pStyle w:val="BodyText"/>
              <w:numPr>
                <w:ilvl w:val="0"/>
                <w:numId w:val="37"/>
              </w:numPr>
              <w:rPr>
                <w:rFonts w:ascii="Arial" w:hAnsi="Arial" w:cs="Arial"/>
                <w:bCs/>
                <w:szCs w:val="24"/>
              </w:rPr>
            </w:pPr>
            <w:r w:rsidRPr="009A6767">
              <w:rPr>
                <w:rFonts w:ascii="Arial" w:hAnsi="Arial" w:cs="Arial"/>
                <w:bCs/>
                <w:szCs w:val="24"/>
                <w:lang w:val="en-US"/>
              </w:rPr>
              <w:lastRenderedPageBreak/>
              <w:t xml:space="preserve">The strong focus nationally and locally around VAWG and in particular rape and sexual offences, may have led to increased reporting and demand.  </w:t>
            </w:r>
          </w:p>
          <w:p w14:paraId="71E7AEE3" w14:textId="77777777" w:rsidR="009A6767" w:rsidRPr="009A6767" w:rsidRDefault="009A6767" w:rsidP="009A6767">
            <w:pPr>
              <w:pStyle w:val="BodyText"/>
              <w:numPr>
                <w:ilvl w:val="0"/>
                <w:numId w:val="37"/>
              </w:numPr>
              <w:rPr>
                <w:rFonts w:ascii="Arial" w:hAnsi="Arial" w:cs="Arial"/>
                <w:bCs/>
                <w:szCs w:val="24"/>
              </w:rPr>
            </w:pPr>
            <w:r w:rsidRPr="009A6767">
              <w:rPr>
                <w:rFonts w:ascii="Arial" w:hAnsi="Arial" w:cs="Arial"/>
                <w:bCs/>
                <w:szCs w:val="24"/>
                <w:lang w:val="en-US"/>
              </w:rPr>
              <w:t>Op Soteria implementation has placed significant demand in terms of new training and implementation of the National Operating Model.  The emphasis on suspect-focused investigations and delivering justice for victims, may increase the confidence of victims to report (leading to an increase in offences), but longer term should bring more offenders to justice and reduce offences.</w:t>
            </w:r>
          </w:p>
          <w:p w14:paraId="602D1F8B" w14:textId="77777777" w:rsidR="009A6767" w:rsidRPr="009A6767" w:rsidRDefault="009A6767" w:rsidP="009A6767">
            <w:pPr>
              <w:pStyle w:val="BodyText"/>
              <w:numPr>
                <w:ilvl w:val="0"/>
                <w:numId w:val="37"/>
              </w:numPr>
              <w:rPr>
                <w:rFonts w:ascii="Arial" w:hAnsi="Arial" w:cs="Arial"/>
                <w:bCs/>
                <w:szCs w:val="24"/>
              </w:rPr>
            </w:pPr>
            <w:r w:rsidRPr="009A6767">
              <w:rPr>
                <w:rFonts w:ascii="Arial" w:hAnsi="Arial" w:cs="Arial"/>
                <w:bCs/>
                <w:szCs w:val="24"/>
                <w:lang w:val="en-US"/>
              </w:rPr>
              <w:t>Indecent exposure is under reported and the focus within the Angiolini Report on this is likely to encourage increased reporting of non-contact sexual offences.  Longer term however, earlier intervention may then lead to a reduction in both contact and non-contact sexual offences in the future.</w:t>
            </w:r>
          </w:p>
        </w:tc>
      </w:tr>
      <w:tr w:rsidR="009A6767" w:rsidRPr="009A6767" w14:paraId="0622AC15"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6AADFF95"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CSEA and Child Protection</w:t>
            </w:r>
          </w:p>
        </w:tc>
        <w:tc>
          <w:tcPr>
            <w:tcW w:w="7176" w:type="dxa"/>
            <w:tcBorders>
              <w:top w:val="single" w:sz="4" w:space="0" w:color="auto"/>
              <w:left w:val="single" w:sz="4" w:space="0" w:color="auto"/>
              <w:bottom w:val="single" w:sz="4" w:space="0" w:color="auto"/>
              <w:right w:val="single" w:sz="4" w:space="0" w:color="auto"/>
            </w:tcBorders>
            <w:hideMark/>
          </w:tcPr>
          <w:p w14:paraId="3032F96E" w14:textId="77777777" w:rsidR="009A6767" w:rsidRPr="009A6767" w:rsidRDefault="009A6767" w:rsidP="009A6767">
            <w:pPr>
              <w:pStyle w:val="BodyText"/>
              <w:numPr>
                <w:ilvl w:val="0"/>
                <w:numId w:val="38"/>
              </w:numPr>
              <w:spacing w:before="7"/>
              <w:rPr>
                <w:rFonts w:ascii="Arial" w:hAnsi="Arial" w:cs="Arial"/>
                <w:bCs/>
                <w:szCs w:val="24"/>
                <w:lang w:val="en-US"/>
              </w:rPr>
            </w:pPr>
            <w:r w:rsidRPr="009A6767">
              <w:rPr>
                <w:rFonts w:ascii="Arial" w:hAnsi="Arial" w:cs="Arial"/>
                <w:bCs/>
                <w:szCs w:val="24"/>
              </w:rPr>
              <w:t xml:space="preserve">CSEA has been on an increasing trend and offences are 13.3% higher than the December 2019 baseline.  Whilst indecent images of children have stabilised over the last 12 months, offences are 41.2% higher than the December 2019 baseline and account for a third of all child sexual abuse.   </w:t>
            </w:r>
          </w:p>
          <w:p w14:paraId="2E97C5EE" w14:textId="77777777" w:rsidR="009A6767" w:rsidRPr="009A6767" w:rsidRDefault="009A6767" w:rsidP="009A6767">
            <w:pPr>
              <w:pStyle w:val="BodyText"/>
              <w:numPr>
                <w:ilvl w:val="0"/>
                <w:numId w:val="38"/>
              </w:numPr>
              <w:spacing w:before="7"/>
              <w:rPr>
                <w:rFonts w:ascii="Arial" w:hAnsi="Arial" w:cs="Arial"/>
                <w:bCs/>
                <w:szCs w:val="24"/>
              </w:rPr>
            </w:pPr>
            <w:r w:rsidRPr="009A6767">
              <w:rPr>
                <w:rFonts w:ascii="Arial" w:hAnsi="Arial" w:cs="Arial"/>
                <w:bCs/>
                <w:szCs w:val="24"/>
              </w:rPr>
              <w:t>Technology continues to be an increasing threat around online CSEA offending, particularly the growth of self-generated indecent imagery, financially motivated sexual exploitation, artificial intelligence, encryption and the Metaverse (virtual reality platforms).</w:t>
            </w:r>
          </w:p>
          <w:p w14:paraId="0F91148E" w14:textId="77777777" w:rsidR="009A6767" w:rsidRPr="009A6767" w:rsidRDefault="009A6767" w:rsidP="009A6767">
            <w:pPr>
              <w:pStyle w:val="BodyText"/>
              <w:numPr>
                <w:ilvl w:val="0"/>
                <w:numId w:val="38"/>
              </w:numPr>
              <w:spacing w:before="7"/>
              <w:rPr>
                <w:rFonts w:ascii="Arial" w:hAnsi="Arial" w:cs="Arial"/>
                <w:bCs/>
                <w:szCs w:val="24"/>
              </w:rPr>
            </w:pPr>
            <w:r w:rsidRPr="009A6767">
              <w:rPr>
                <w:rFonts w:ascii="Arial" w:hAnsi="Arial" w:cs="Arial"/>
                <w:bCs/>
                <w:szCs w:val="24"/>
              </w:rPr>
              <w:t>Non-recent CSEA investigations are on a stable trend, however investigations involve multiple victims and suspects and are therefore complex and lengthy.  As victims often disclose when they are approached as a potential witness or when suspects are convicted, numbers of non-recent CSEA may increase.</w:t>
            </w:r>
          </w:p>
          <w:p w14:paraId="4BCE3DF0" w14:textId="77777777" w:rsidR="009A6767" w:rsidRPr="009A6767" w:rsidRDefault="009A6767" w:rsidP="009A6767">
            <w:pPr>
              <w:pStyle w:val="BodyText"/>
              <w:numPr>
                <w:ilvl w:val="0"/>
                <w:numId w:val="38"/>
              </w:numPr>
              <w:spacing w:before="7"/>
              <w:rPr>
                <w:rFonts w:ascii="Arial" w:hAnsi="Arial" w:cs="Arial"/>
                <w:bCs/>
                <w:szCs w:val="24"/>
              </w:rPr>
            </w:pPr>
            <w:r w:rsidRPr="009A6767">
              <w:rPr>
                <w:rFonts w:ascii="Arial" w:hAnsi="Arial" w:cs="Arial"/>
                <w:bCs/>
                <w:szCs w:val="24"/>
              </w:rPr>
              <w:t xml:space="preserve">There is a strong national and local focus on child protection.  West Yorkshire has higher rates of children in care than the national average and there are parts of the County where over a third of children are growing up in poverty, which may increase risk around child neglect.  </w:t>
            </w:r>
          </w:p>
          <w:p w14:paraId="422AFC6D" w14:textId="77777777" w:rsidR="009A6767" w:rsidRPr="009A6767" w:rsidRDefault="009A6767" w:rsidP="009A6767">
            <w:pPr>
              <w:pStyle w:val="BodyText"/>
              <w:numPr>
                <w:ilvl w:val="0"/>
                <w:numId w:val="38"/>
              </w:numPr>
              <w:spacing w:before="7"/>
              <w:rPr>
                <w:rFonts w:ascii="Arial" w:hAnsi="Arial" w:cs="Arial"/>
                <w:bCs/>
                <w:szCs w:val="24"/>
              </w:rPr>
            </w:pPr>
            <w:r w:rsidRPr="009A6767">
              <w:rPr>
                <w:rFonts w:ascii="Arial" w:hAnsi="Arial" w:cs="Arial"/>
                <w:bCs/>
                <w:szCs w:val="24"/>
              </w:rPr>
              <w:t xml:space="preserve">The Force is currently preparing for an HMICFRS inspection around child protection which is anticipated in 2025. </w:t>
            </w:r>
          </w:p>
        </w:tc>
      </w:tr>
      <w:tr w:rsidR="009A6767" w:rsidRPr="009A6767" w14:paraId="734CEE7D"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B3043DE"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Mental Health</w:t>
            </w:r>
          </w:p>
        </w:tc>
        <w:tc>
          <w:tcPr>
            <w:tcW w:w="7176" w:type="dxa"/>
            <w:tcBorders>
              <w:top w:val="single" w:sz="4" w:space="0" w:color="auto"/>
              <w:left w:val="single" w:sz="4" w:space="0" w:color="auto"/>
              <w:bottom w:val="single" w:sz="4" w:space="0" w:color="auto"/>
              <w:right w:val="single" w:sz="4" w:space="0" w:color="auto"/>
            </w:tcBorders>
            <w:hideMark/>
          </w:tcPr>
          <w:p w14:paraId="05A89C3B" w14:textId="77777777" w:rsidR="009A6767" w:rsidRPr="009A6767" w:rsidRDefault="009A6767" w:rsidP="009A6767">
            <w:pPr>
              <w:pStyle w:val="BodyText"/>
              <w:numPr>
                <w:ilvl w:val="0"/>
                <w:numId w:val="39"/>
              </w:numPr>
              <w:spacing w:before="7"/>
              <w:rPr>
                <w:rFonts w:ascii="Arial" w:hAnsi="Arial" w:cs="Arial"/>
                <w:bCs/>
                <w:szCs w:val="24"/>
                <w:lang w:val="en-US"/>
              </w:rPr>
            </w:pPr>
            <w:r w:rsidRPr="009A6767">
              <w:rPr>
                <w:rFonts w:ascii="Arial" w:hAnsi="Arial" w:cs="Arial"/>
                <w:bCs/>
                <w:szCs w:val="24"/>
              </w:rPr>
              <w:t>Mental health demand has historically been difficult to fully identify as many incidents will involve some mental health related issues.  In FMS 6 we identified that 40% of all calls for service related to public safety and welfare incidents, creating significant potential demand for the Force.</w:t>
            </w:r>
          </w:p>
          <w:p w14:paraId="307E2B39" w14:textId="77777777" w:rsidR="009A6767" w:rsidRPr="009A6767" w:rsidRDefault="009A6767" w:rsidP="009A6767">
            <w:pPr>
              <w:pStyle w:val="BodyText"/>
              <w:numPr>
                <w:ilvl w:val="0"/>
                <w:numId w:val="39"/>
              </w:numPr>
              <w:spacing w:before="7"/>
              <w:rPr>
                <w:rFonts w:ascii="Arial" w:hAnsi="Arial" w:cs="Arial"/>
                <w:bCs/>
                <w:szCs w:val="24"/>
              </w:rPr>
            </w:pPr>
            <w:r w:rsidRPr="009A6767">
              <w:rPr>
                <w:rFonts w:ascii="Arial" w:hAnsi="Arial" w:cs="Arial"/>
                <w:bCs/>
                <w:szCs w:val="24"/>
              </w:rPr>
              <w:t xml:space="preserve">As anticipated, the introduction of Right Care Right Person (RCRP) is starting to impact on inappropriate attendance at mental health incidents.  However, given socio-economic challenges as well as pressures on partner agencies, there is the risk that mental health demand will </w:t>
            </w:r>
            <w:r w:rsidRPr="009A6767">
              <w:rPr>
                <w:rFonts w:ascii="Arial" w:hAnsi="Arial" w:cs="Arial"/>
                <w:bCs/>
                <w:szCs w:val="24"/>
              </w:rPr>
              <w:lastRenderedPageBreak/>
              <w:t xml:space="preserve">increase with potential demand shunts to policing if partners cannot or fail to respond.   </w:t>
            </w:r>
          </w:p>
        </w:tc>
      </w:tr>
      <w:tr w:rsidR="009A6767" w:rsidRPr="009A6767" w14:paraId="55D00CE2"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696627DF"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Missing Persons</w:t>
            </w:r>
          </w:p>
        </w:tc>
        <w:tc>
          <w:tcPr>
            <w:tcW w:w="7176" w:type="dxa"/>
            <w:tcBorders>
              <w:top w:val="single" w:sz="4" w:space="0" w:color="auto"/>
              <w:left w:val="single" w:sz="4" w:space="0" w:color="auto"/>
              <w:bottom w:val="single" w:sz="4" w:space="0" w:color="auto"/>
              <w:right w:val="single" w:sz="4" w:space="0" w:color="auto"/>
            </w:tcBorders>
            <w:hideMark/>
          </w:tcPr>
          <w:p w14:paraId="0F147699"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lang w:val="en-US"/>
              </w:rPr>
              <w:t xml:space="preserve">Over the last five years there has been a significant reduction and then </w:t>
            </w:r>
            <w:proofErr w:type="spellStart"/>
            <w:r w:rsidRPr="009A6767">
              <w:rPr>
                <w:rFonts w:ascii="Arial" w:hAnsi="Arial" w:cs="Arial"/>
                <w:bCs/>
                <w:szCs w:val="24"/>
                <w:lang w:val="en-US"/>
              </w:rPr>
              <w:t>stabilising</w:t>
            </w:r>
            <w:proofErr w:type="spellEnd"/>
            <w:r w:rsidRPr="009A6767">
              <w:rPr>
                <w:rFonts w:ascii="Arial" w:hAnsi="Arial" w:cs="Arial"/>
                <w:bCs/>
                <w:szCs w:val="24"/>
                <w:lang w:val="en-US"/>
              </w:rPr>
              <w:t xml:space="preserve"> of missing persons demand, with the number of incidents 41.7% below the December 2019 baseline.  Reductions have been achieved through strong partnership working and the implementation of policies in 2019/20 similar to RCRP and more latterly the levels of intervention model which has encouraged a more significant response from non-police </w:t>
            </w:r>
            <w:proofErr w:type="spellStart"/>
            <w:r w:rsidRPr="009A6767">
              <w:rPr>
                <w:rFonts w:ascii="Arial" w:hAnsi="Arial" w:cs="Arial"/>
                <w:bCs/>
                <w:szCs w:val="24"/>
                <w:lang w:val="en-US"/>
              </w:rPr>
              <w:t>organisations</w:t>
            </w:r>
            <w:proofErr w:type="spellEnd"/>
            <w:r w:rsidRPr="009A6767">
              <w:rPr>
                <w:rFonts w:ascii="Arial" w:hAnsi="Arial" w:cs="Arial"/>
                <w:bCs/>
                <w:szCs w:val="24"/>
                <w:lang w:val="en-US"/>
              </w:rPr>
              <w:t xml:space="preserve">, prior to involving the police.  </w:t>
            </w:r>
          </w:p>
          <w:p w14:paraId="1F16843B"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lang w:val="en-US"/>
              </w:rPr>
              <w:t xml:space="preserve">Whilst numbers have reduced, demand is still high and risk levels have increased with 96% of children and 92% of adults graded as high or medium risk. </w:t>
            </w:r>
          </w:p>
          <w:p w14:paraId="3DDB8B33"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lang w:val="en-US"/>
              </w:rPr>
              <w:t>Around two thirds of missing people are children, and a large proportion are children in care.  There are also links with CSE and Child Criminal Exploitation (CCE).  For adults who go missing there is a strong link with mental health.</w:t>
            </w:r>
          </w:p>
          <w:p w14:paraId="2A77ED1C" w14:textId="77777777" w:rsidR="009A6767" w:rsidRPr="009A6767" w:rsidRDefault="009A6767" w:rsidP="009A6767">
            <w:pPr>
              <w:pStyle w:val="BodyText"/>
              <w:numPr>
                <w:ilvl w:val="0"/>
                <w:numId w:val="34"/>
              </w:numPr>
              <w:spacing w:before="7"/>
              <w:rPr>
                <w:rFonts w:ascii="Arial" w:hAnsi="Arial" w:cs="Arial"/>
                <w:bCs/>
                <w:szCs w:val="24"/>
                <w:lang w:val="en-US"/>
              </w:rPr>
            </w:pPr>
            <w:r w:rsidRPr="009A6767">
              <w:rPr>
                <w:rFonts w:ascii="Arial" w:hAnsi="Arial" w:cs="Arial"/>
                <w:bCs/>
                <w:szCs w:val="24"/>
                <w:lang w:val="en-US"/>
              </w:rPr>
              <w:t xml:space="preserve">An increasing elderly population, with more people looked after at home, may increase both adults who go missing and adults at risk. </w:t>
            </w:r>
          </w:p>
        </w:tc>
      </w:tr>
      <w:tr w:rsidR="009A6767" w:rsidRPr="009A6767" w14:paraId="04A644E9"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298B1F68"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Registered Sex Offenders (RSO)</w:t>
            </w:r>
          </w:p>
        </w:tc>
        <w:tc>
          <w:tcPr>
            <w:tcW w:w="7176" w:type="dxa"/>
            <w:tcBorders>
              <w:top w:val="single" w:sz="4" w:space="0" w:color="auto"/>
              <w:left w:val="single" w:sz="4" w:space="0" w:color="auto"/>
              <w:bottom w:val="single" w:sz="4" w:space="0" w:color="auto"/>
              <w:right w:val="single" w:sz="4" w:space="0" w:color="auto"/>
            </w:tcBorders>
            <w:hideMark/>
          </w:tcPr>
          <w:p w14:paraId="5940A26F" w14:textId="77777777" w:rsidR="009A6767" w:rsidRPr="009A6767" w:rsidRDefault="009A6767" w:rsidP="009A6767">
            <w:pPr>
              <w:pStyle w:val="BodyText"/>
              <w:numPr>
                <w:ilvl w:val="0"/>
                <w:numId w:val="40"/>
              </w:numPr>
              <w:rPr>
                <w:rFonts w:ascii="Arial" w:hAnsi="Arial" w:cs="Arial"/>
                <w:bCs/>
                <w:szCs w:val="24"/>
                <w:lang w:val="en-US"/>
              </w:rPr>
            </w:pPr>
            <w:r w:rsidRPr="009A6767">
              <w:rPr>
                <w:rFonts w:ascii="Arial" w:hAnsi="Arial" w:cs="Arial"/>
                <w:bCs/>
                <w:szCs w:val="24"/>
                <w:lang w:val="en-US"/>
              </w:rPr>
              <w:t>The number of RSOs continues to increase at a higher rate than the national average and numbers are now 15.4% above the December 2019 baseline.</w:t>
            </w:r>
          </w:p>
          <w:p w14:paraId="1FA46B5F" w14:textId="77777777" w:rsidR="009A6767" w:rsidRPr="009A6767" w:rsidRDefault="009A6767" w:rsidP="009A6767">
            <w:pPr>
              <w:pStyle w:val="BodyText"/>
              <w:numPr>
                <w:ilvl w:val="0"/>
                <w:numId w:val="40"/>
              </w:numPr>
              <w:rPr>
                <w:rFonts w:ascii="Arial" w:hAnsi="Arial" w:cs="Arial"/>
                <w:bCs/>
                <w:szCs w:val="24"/>
                <w:lang w:val="en-US"/>
              </w:rPr>
            </w:pPr>
            <w:r w:rsidRPr="009A6767">
              <w:rPr>
                <w:rFonts w:ascii="Arial" w:hAnsi="Arial" w:cs="Arial"/>
                <w:bCs/>
                <w:szCs w:val="24"/>
                <w:lang w:val="en-US"/>
              </w:rPr>
              <w:t>The overwhelming majority of RSOs (72%) are managed in the community and are medium or low risk (70%).</w:t>
            </w:r>
          </w:p>
          <w:p w14:paraId="01B7D656" w14:textId="77777777" w:rsidR="009A6767" w:rsidRPr="009A6767" w:rsidRDefault="009A6767" w:rsidP="009A6767">
            <w:pPr>
              <w:pStyle w:val="BodyText"/>
              <w:numPr>
                <w:ilvl w:val="0"/>
                <w:numId w:val="40"/>
              </w:numPr>
              <w:rPr>
                <w:rFonts w:ascii="Arial" w:hAnsi="Arial" w:cs="Arial"/>
                <w:bCs/>
                <w:szCs w:val="24"/>
                <w:lang w:val="en-US"/>
              </w:rPr>
            </w:pPr>
            <w:r w:rsidRPr="009A6767">
              <w:rPr>
                <w:rFonts w:ascii="Arial" w:hAnsi="Arial" w:cs="Arial"/>
                <w:bCs/>
                <w:szCs w:val="24"/>
                <w:lang w:val="en-US"/>
              </w:rPr>
              <w:t>Numbers are projected to increase over the next four years given projected increases in sexual offences, CSEA and the expected continuing increase in online offending.</w:t>
            </w:r>
          </w:p>
        </w:tc>
      </w:tr>
      <w:tr w:rsidR="009A6767" w:rsidRPr="009A6767" w14:paraId="5B5D047E"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79AE63CD"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Serious and Organised Crime (SOC)</w:t>
            </w:r>
          </w:p>
        </w:tc>
        <w:tc>
          <w:tcPr>
            <w:tcW w:w="7176" w:type="dxa"/>
            <w:tcBorders>
              <w:top w:val="single" w:sz="4" w:space="0" w:color="auto"/>
              <w:left w:val="single" w:sz="4" w:space="0" w:color="auto"/>
              <w:bottom w:val="single" w:sz="4" w:space="0" w:color="auto"/>
              <w:right w:val="single" w:sz="4" w:space="0" w:color="auto"/>
            </w:tcBorders>
            <w:hideMark/>
          </w:tcPr>
          <w:p w14:paraId="3237B968" w14:textId="77777777" w:rsidR="009A6767" w:rsidRPr="009A6767" w:rsidRDefault="009A6767" w:rsidP="009A6767">
            <w:pPr>
              <w:pStyle w:val="BodyText"/>
              <w:numPr>
                <w:ilvl w:val="0"/>
                <w:numId w:val="41"/>
              </w:numPr>
              <w:rPr>
                <w:rFonts w:ascii="Arial" w:hAnsi="Arial" w:cs="Arial"/>
                <w:bCs/>
                <w:szCs w:val="24"/>
              </w:rPr>
            </w:pPr>
            <w:r w:rsidRPr="009A6767">
              <w:rPr>
                <w:rFonts w:ascii="Arial" w:hAnsi="Arial" w:cs="Arial"/>
                <w:bCs/>
                <w:szCs w:val="24"/>
              </w:rPr>
              <w:t>Serious and organised crime (SOC) presents a significant threat in West Yorkshire and it is predicted that most types will increase.</w:t>
            </w:r>
          </w:p>
          <w:p w14:paraId="1ED0A4C6" w14:textId="77777777" w:rsidR="009A6767" w:rsidRPr="009A6767" w:rsidRDefault="009A6767" w:rsidP="009A6767">
            <w:pPr>
              <w:pStyle w:val="BodyText"/>
              <w:numPr>
                <w:ilvl w:val="0"/>
                <w:numId w:val="41"/>
              </w:numPr>
              <w:rPr>
                <w:rFonts w:ascii="Arial" w:hAnsi="Arial" w:cs="Arial"/>
                <w:bCs/>
                <w:szCs w:val="24"/>
              </w:rPr>
            </w:pPr>
            <w:r w:rsidRPr="009A6767">
              <w:rPr>
                <w:rFonts w:ascii="Arial" w:hAnsi="Arial" w:cs="Arial"/>
                <w:bCs/>
                <w:szCs w:val="24"/>
              </w:rPr>
              <w:t xml:space="preserve">The highest scoring wards for serious and organised crime severity are also those with higher levels of deprivation. </w:t>
            </w:r>
          </w:p>
          <w:p w14:paraId="454DF92D" w14:textId="77777777" w:rsidR="009A6767" w:rsidRPr="009A6767" w:rsidRDefault="009A6767" w:rsidP="009A6767">
            <w:pPr>
              <w:pStyle w:val="BodyText"/>
              <w:numPr>
                <w:ilvl w:val="0"/>
                <w:numId w:val="42"/>
              </w:numPr>
              <w:spacing w:before="7"/>
              <w:rPr>
                <w:rFonts w:ascii="Arial" w:hAnsi="Arial" w:cs="Arial"/>
                <w:bCs/>
                <w:szCs w:val="24"/>
                <w:lang w:val="en-US"/>
              </w:rPr>
            </w:pPr>
            <w:r w:rsidRPr="009A6767">
              <w:rPr>
                <w:rFonts w:ascii="Arial" w:hAnsi="Arial" w:cs="Arial"/>
                <w:bCs/>
                <w:szCs w:val="24"/>
              </w:rPr>
              <w:t xml:space="preserve">The National Strategic Assessment outlines that whilst overall crime has reduced, the scale and harm of SOC has increased making up a higher proportion of all offending.  Key factors include the societal shift to online and growth of online offending, the growth of the drugs threat and the international nature of the threat. </w:t>
            </w:r>
          </w:p>
        </w:tc>
      </w:tr>
      <w:tr w:rsidR="009A6767" w:rsidRPr="009A6767" w14:paraId="207A195F"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1A824B1D"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 xml:space="preserve">Drugs and Firearms </w:t>
            </w:r>
          </w:p>
        </w:tc>
        <w:tc>
          <w:tcPr>
            <w:tcW w:w="7176" w:type="dxa"/>
            <w:tcBorders>
              <w:top w:val="single" w:sz="4" w:space="0" w:color="auto"/>
              <w:left w:val="single" w:sz="4" w:space="0" w:color="auto"/>
              <w:bottom w:val="single" w:sz="4" w:space="0" w:color="auto"/>
              <w:right w:val="single" w:sz="4" w:space="0" w:color="auto"/>
            </w:tcBorders>
            <w:hideMark/>
          </w:tcPr>
          <w:p w14:paraId="13885C3F" w14:textId="77777777" w:rsidR="009A6767" w:rsidRPr="009A6767" w:rsidRDefault="009A6767" w:rsidP="009A6767">
            <w:pPr>
              <w:pStyle w:val="BodyText"/>
              <w:numPr>
                <w:ilvl w:val="0"/>
                <w:numId w:val="41"/>
              </w:numPr>
              <w:spacing w:before="7"/>
              <w:rPr>
                <w:rFonts w:ascii="Arial" w:hAnsi="Arial" w:cs="Arial"/>
                <w:bCs/>
                <w:szCs w:val="24"/>
                <w:lang w:val="en-US"/>
              </w:rPr>
            </w:pPr>
            <w:r w:rsidRPr="009A6767">
              <w:rPr>
                <w:rFonts w:ascii="Arial" w:hAnsi="Arial" w:cs="Arial"/>
                <w:bCs/>
                <w:szCs w:val="24"/>
              </w:rPr>
              <w:t xml:space="preserve">Drugs are the primary SOC threat and there are strong links to violent crime, gangs and exploitation of vulnerable people.  </w:t>
            </w:r>
          </w:p>
          <w:p w14:paraId="7147A604" w14:textId="77777777" w:rsidR="009A6767" w:rsidRPr="009A6767" w:rsidRDefault="009A6767" w:rsidP="009A6767">
            <w:pPr>
              <w:pStyle w:val="BodyText"/>
              <w:numPr>
                <w:ilvl w:val="0"/>
                <w:numId w:val="41"/>
              </w:numPr>
              <w:spacing w:before="7"/>
              <w:rPr>
                <w:rFonts w:ascii="Arial" w:hAnsi="Arial" w:cs="Arial"/>
                <w:bCs/>
                <w:szCs w:val="24"/>
              </w:rPr>
            </w:pPr>
            <w:r w:rsidRPr="009A6767">
              <w:rPr>
                <w:rFonts w:ascii="Arial" w:hAnsi="Arial" w:cs="Arial"/>
                <w:bCs/>
                <w:szCs w:val="24"/>
              </w:rPr>
              <w:t xml:space="preserve">Whilst the number of OCGs involved in the manufacture and supply of firearms is low, there is a wider link between criminal use of firearms, drugs and serious violence.  </w:t>
            </w:r>
          </w:p>
          <w:p w14:paraId="64B8CC14" w14:textId="77777777" w:rsidR="009A6767" w:rsidRPr="009A6767" w:rsidRDefault="009A6767" w:rsidP="009A6767">
            <w:pPr>
              <w:pStyle w:val="BodyText"/>
              <w:numPr>
                <w:ilvl w:val="0"/>
                <w:numId w:val="41"/>
              </w:numPr>
              <w:rPr>
                <w:rFonts w:ascii="Arial" w:hAnsi="Arial" w:cs="Arial"/>
                <w:bCs/>
                <w:szCs w:val="24"/>
              </w:rPr>
            </w:pPr>
            <w:r w:rsidRPr="009A6767">
              <w:rPr>
                <w:rFonts w:ascii="Arial" w:hAnsi="Arial" w:cs="Arial"/>
                <w:bCs/>
                <w:szCs w:val="24"/>
              </w:rPr>
              <w:t>There has been a slight increase in firearms discharges over the last 12 months and an increase in injury offences. However, the Force still has a lower rate of gun crime than other Metropolitan forces.</w:t>
            </w:r>
          </w:p>
        </w:tc>
      </w:tr>
      <w:tr w:rsidR="009A6767" w:rsidRPr="009A6767" w14:paraId="767A7555"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072C1FE4"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Modern Slavery Human Trafficking (MSHT)</w:t>
            </w:r>
          </w:p>
        </w:tc>
        <w:tc>
          <w:tcPr>
            <w:tcW w:w="7176" w:type="dxa"/>
            <w:tcBorders>
              <w:top w:val="single" w:sz="4" w:space="0" w:color="auto"/>
              <w:left w:val="single" w:sz="4" w:space="0" w:color="auto"/>
              <w:bottom w:val="single" w:sz="4" w:space="0" w:color="auto"/>
              <w:right w:val="single" w:sz="4" w:space="0" w:color="auto"/>
            </w:tcBorders>
            <w:hideMark/>
          </w:tcPr>
          <w:p w14:paraId="42D02127" w14:textId="77777777" w:rsidR="009A6767" w:rsidRPr="009A6767" w:rsidRDefault="009A6767" w:rsidP="009A6767">
            <w:pPr>
              <w:pStyle w:val="BodyText"/>
              <w:numPr>
                <w:ilvl w:val="0"/>
                <w:numId w:val="41"/>
              </w:numPr>
              <w:rPr>
                <w:rFonts w:ascii="Arial" w:hAnsi="Arial" w:cs="Arial"/>
                <w:bCs/>
                <w:szCs w:val="24"/>
              </w:rPr>
            </w:pPr>
            <w:r w:rsidRPr="009A6767">
              <w:rPr>
                <w:rFonts w:ascii="Arial" w:hAnsi="Arial" w:cs="Arial"/>
                <w:bCs/>
                <w:szCs w:val="24"/>
              </w:rPr>
              <w:t xml:space="preserve">There has been a slight reduction in MSHT offences over the last 12 months, however the longer term trend is upwards and is 22% higher than the December 2019 baseline.  </w:t>
            </w:r>
          </w:p>
          <w:p w14:paraId="4594BF44" w14:textId="77777777" w:rsidR="009A6767" w:rsidRPr="009A6767" w:rsidRDefault="009A6767" w:rsidP="009A6767">
            <w:pPr>
              <w:pStyle w:val="BodyText"/>
              <w:numPr>
                <w:ilvl w:val="0"/>
                <w:numId w:val="41"/>
              </w:numPr>
              <w:rPr>
                <w:rFonts w:ascii="Arial" w:hAnsi="Arial" w:cs="Arial"/>
                <w:bCs/>
                <w:szCs w:val="24"/>
              </w:rPr>
            </w:pPr>
            <w:r w:rsidRPr="009A6767">
              <w:rPr>
                <w:rFonts w:ascii="Arial" w:hAnsi="Arial" w:cs="Arial"/>
                <w:bCs/>
                <w:szCs w:val="24"/>
              </w:rPr>
              <w:t>The profile has not changed; criminal exploitation remains the most common exploitation type and consists principally of forced labour for the purposes of cannabis cultivation and forced gang related activity linked to county lines, evidencing the strong link to drugs.</w:t>
            </w:r>
          </w:p>
        </w:tc>
      </w:tr>
      <w:tr w:rsidR="009A6767" w:rsidRPr="009A6767" w14:paraId="143ECB12"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52F431B8"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Fraud and Cyber dependent crime</w:t>
            </w:r>
          </w:p>
        </w:tc>
        <w:tc>
          <w:tcPr>
            <w:tcW w:w="7176" w:type="dxa"/>
            <w:tcBorders>
              <w:top w:val="single" w:sz="4" w:space="0" w:color="auto"/>
              <w:left w:val="single" w:sz="4" w:space="0" w:color="auto"/>
              <w:bottom w:val="single" w:sz="4" w:space="0" w:color="auto"/>
              <w:right w:val="single" w:sz="4" w:space="0" w:color="auto"/>
            </w:tcBorders>
            <w:hideMark/>
          </w:tcPr>
          <w:p w14:paraId="7D2432C9" w14:textId="77777777" w:rsidR="009A6767" w:rsidRPr="009A6767" w:rsidRDefault="009A6767" w:rsidP="009A6767">
            <w:pPr>
              <w:pStyle w:val="BodyText"/>
              <w:numPr>
                <w:ilvl w:val="0"/>
                <w:numId w:val="42"/>
              </w:numPr>
              <w:spacing w:before="7"/>
              <w:rPr>
                <w:rFonts w:ascii="Arial" w:hAnsi="Arial" w:cs="Arial"/>
                <w:bCs/>
                <w:szCs w:val="24"/>
                <w:lang w:val="en-US"/>
              </w:rPr>
            </w:pPr>
            <w:r w:rsidRPr="009A6767">
              <w:rPr>
                <w:rFonts w:ascii="Arial" w:hAnsi="Arial" w:cs="Arial"/>
                <w:bCs/>
                <w:szCs w:val="24"/>
              </w:rPr>
              <w:t xml:space="preserve">The NSA outlines that fraud remains the most prevalent crime against individuals although this continues to be under reported, with fraud identified as a chronic risk. </w:t>
            </w:r>
          </w:p>
          <w:p w14:paraId="70BD4C24"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There has been a trebling of Action Fraud disseminations to the Force over the last six years and Protect disseminations have increased by 16% compared to FMS6.</w:t>
            </w:r>
          </w:p>
          <w:p w14:paraId="291EFC7D"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In line with previous FMS’ it is predicted that the threat associated with fraud will increase, both in terms of volume and range, however due to limitations in reporting and recording this may not be reflected in Force data.  Focus at a national level will increase given the likely inclusion of fraud in the new PEEL Assessment Framework (2025/27)</w:t>
            </w:r>
          </w:p>
          <w:p w14:paraId="24C9012F"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 xml:space="preserve">Both the NSA and Regional Strategic Assessment (RSA) outline that the cyber threat is increasing.  Nationally, regionally and within West Yorkshire ransomware is the biggest threat due to potential significant financial losses, data theft, disruption of service and reputational harm. </w:t>
            </w:r>
          </w:p>
          <w:p w14:paraId="4E3F1D46"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Cyber-dependent crime, cyber-related blackmail offences and Protect notifications are on a long-term upward trend and criminal use of technology is a cross-cutting SOC threat</w:t>
            </w:r>
          </w:p>
          <w:p w14:paraId="6652DEEB"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 xml:space="preserve">The cyber threat is projected to evolve and increase with commoditisation of tools and services reducing the capability threshold to commit offences. Technological advancements such as Artificial Intelligence,  Deepfake and the Metaverse create opportunities for a broad range of cyber-crime.   </w:t>
            </w:r>
          </w:p>
        </w:tc>
      </w:tr>
      <w:tr w:rsidR="009A6767" w:rsidRPr="009A6767" w14:paraId="58895C13"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48012204"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Cs/>
                <w:szCs w:val="24"/>
                <w:lang w:val="en-US"/>
              </w:rPr>
              <w:br w:type="page"/>
            </w:r>
            <w:r w:rsidRPr="009A6767">
              <w:rPr>
                <w:rFonts w:ascii="Arial" w:hAnsi="Arial" w:cs="Arial"/>
                <w:b/>
                <w:bCs/>
                <w:szCs w:val="24"/>
                <w:lang w:val="en-US"/>
              </w:rPr>
              <w:t xml:space="preserve">Most </w:t>
            </w:r>
            <w:r w:rsidRPr="009A6767">
              <w:rPr>
                <w:rFonts w:ascii="Arial" w:hAnsi="Arial" w:cs="Arial"/>
                <w:b/>
                <w:bCs/>
                <w:szCs w:val="24"/>
              </w:rPr>
              <w:t>Serious Violence and Knife Crime</w:t>
            </w:r>
          </w:p>
        </w:tc>
        <w:tc>
          <w:tcPr>
            <w:tcW w:w="7176" w:type="dxa"/>
            <w:tcBorders>
              <w:top w:val="single" w:sz="4" w:space="0" w:color="auto"/>
              <w:left w:val="single" w:sz="4" w:space="0" w:color="auto"/>
              <w:bottom w:val="single" w:sz="4" w:space="0" w:color="auto"/>
              <w:right w:val="single" w:sz="4" w:space="0" w:color="auto"/>
            </w:tcBorders>
            <w:hideMark/>
          </w:tcPr>
          <w:p w14:paraId="6E82E14C" w14:textId="77777777" w:rsidR="009A6767" w:rsidRPr="009A6767" w:rsidRDefault="009A6767" w:rsidP="009A6767">
            <w:pPr>
              <w:pStyle w:val="BodyText"/>
              <w:numPr>
                <w:ilvl w:val="0"/>
                <w:numId w:val="42"/>
              </w:numPr>
              <w:spacing w:before="7"/>
              <w:rPr>
                <w:rFonts w:ascii="Arial" w:hAnsi="Arial" w:cs="Arial"/>
                <w:bCs/>
                <w:szCs w:val="24"/>
                <w:lang w:val="en-US"/>
              </w:rPr>
            </w:pPr>
            <w:r w:rsidRPr="009A6767">
              <w:rPr>
                <w:rFonts w:ascii="Arial" w:hAnsi="Arial" w:cs="Arial"/>
                <w:bCs/>
                <w:szCs w:val="24"/>
              </w:rPr>
              <w:t xml:space="preserve">Most serious violence is on a stable trend, however offences are 11.2% above the December 2019 baseline and a small increasing trend is projected over the next four years.   </w:t>
            </w:r>
          </w:p>
          <w:p w14:paraId="2E0A0564"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Around a quarter of offences are committed with a bladed/pointed object showing the connections with knife crime.  There are also strong connections with gangs more generally.</w:t>
            </w:r>
          </w:p>
          <w:p w14:paraId="517D8CA4" w14:textId="77777777" w:rsidR="009A6767" w:rsidRPr="009A6767" w:rsidRDefault="009A6767" w:rsidP="009A6767">
            <w:pPr>
              <w:pStyle w:val="BodyText"/>
              <w:numPr>
                <w:ilvl w:val="0"/>
                <w:numId w:val="42"/>
              </w:numPr>
              <w:spacing w:before="7"/>
              <w:rPr>
                <w:rFonts w:ascii="Arial" w:hAnsi="Arial" w:cs="Arial"/>
                <w:bCs/>
                <w:szCs w:val="24"/>
              </w:rPr>
            </w:pPr>
            <w:r w:rsidRPr="009A6767">
              <w:rPr>
                <w:rFonts w:ascii="Arial" w:hAnsi="Arial" w:cs="Arial"/>
                <w:bCs/>
                <w:szCs w:val="24"/>
              </w:rPr>
              <w:t>Whilst knife crime is stable and offences are 12.2% below the December 2019 baseline, there has been a 9% increase in knife enabled robbery.  The Force is part of the Knife Enabled Robbery Taskforce alongside another six Metropolitan forces.</w:t>
            </w:r>
          </w:p>
        </w:tc>
      </w:tr>
      <w:tr w:rsidR="009A6767" w:rsidRPr="009A6767" w14:paraId="559A810A"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289E1F58"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t>National threats (SPR)</w:t>
            </w:r>
          </w:p>
        </w:tc>
        <w:tc>
          <w:tcPr>
            <w:tcW w:w="7176" w:type="dxa"/>
            <w:tcBorders>
              <w:top w:val="single" w:sz="4" w:space="0" w:color="auto"/>
              <w:left w:val="single" w:sz="4" w:space="0" w:color="auto"/>
              <w:bottom w:val="single" w:sz="4" w:space="0" w:color="auto"/>
              <w:right w:val="single" w:sz="4" w:space="0" w:color="auto"/>
            </w:tcBorders>
            <w:hideMark/>
          </w:tcPr>
          <w:p w14:paraId="55252FA9" w14:textId="77777777" w:rsidR="009A6767" w:rsidRPr="009A6767" w:rsidRDefault="009A6767" w:rsidP="009A6767">
            <w:pPr>
              <w:pStyle w:val="BodyText"/>
              <w:numPr>
                <w:ilvl w:val="0"/>
                <w:numId w:val="43"/>
              </w:numPr>
              <w:rPr>
                <w:rFonts w:ascii="Arial" w:hAnsi="Arial" w:cs="Arial"/>
                <w:bCs/>
                <w:szCs w:val="24"/>
              </w:rPr>
            </w:pPr>
            <w:r w:rsidRPr="009A6767">
              <w:rPr>
                <w:rFonts w:ascii="Arial" w:hAnsi="Arial" w:cs="Arial"/>
                <w:bCs/>
                <w:szCs w:val="24"/>
              </w:rPr>
              <w:t xml:space="preserve">The threat level for terrorism remains at Substantial and the number of investigations also remains stable. </w:t>
            </w:r>
          </w:p>
          <w:p w14:paraId="0EA2452F" w14:textId="77777777" w:rsidR="009A6767" w:rsidRPr="009A6767" w:rsidRDefault="009A6767" w:rsidP="009A6767">
            <w:pPr>
              <w:pStyle w:val="BodyText"/>
              <w:numPr>
                <w:ilvl w:val="0"/>
                <w:numId w:val="43"/>
              </w:numPr>
              <w:rPr>
                <w:rFonts w:ascii="Arial" w:hAnsi="Arial" w:cs="Arial"/>
                <w:bCs/>
                <w:szCs w:val="24"/>
              </w:rPr>
            </w:pPr>
            <w:r w:rsidRPr="009A6767">
              <w:rPr>
                <w:rFonts w:ascii="Arial" w:hAnsi="Arial" w:cs="Arial"/>
                <w:bCs/>
                <w:szCs w:val="24"/>
              </w:rPr>
              <w:lastRenderedPageBreak/>
              <w:t>Public Order demand has increased over the last 12 months, linked to the ongoing issues associated with the Middle East as well as providing mutual aid support during the violent disorders in the summer of 2024.</w:t>
            </w:r>
          </w:p>
          <w:p w14:paraId="0244C6F0" w14:textId="77777777" w:rsidR="009A6767" w:rsidRPr="009A6767" w:rsidRDefault="009A6767" w:rsidP="009A6767">
            <w:pPr>
              <w:pStyle w:val="BodyText"/>
              <w:numPr>
                <w:ilvl w:val="0"/>
                <w:numId w:val="43"/>
              </w:numPr>
              <w:rPr>
                <w:rFonts w:ascii="Arial" w:hAnsi="Arial" w:cs="Arial"/>
                <w:bCs/>
                <w:szCs w:val="24"/>
              </w:rPr>
            </w:pPr>
            <w:r w:rsidRPr="009A6767">
              <w:rPr>
                <w:rFonts w:ascii="Arial" w:hAnsi="Arial" w:cs="Arial"/>
                <w:bCs/>
                <w:szCs w:val="24"/>
              </w:rPr>
              <w:t xml:space="preserve">Armed Policing demand has increased linked to the increase in firearms discharges and planned and spontaneous operations. </w:t>
            </w:r>
          </w:p>
          <w:p w14:paraId="239094C5" w14:textId="77777777" w:rsidR="009A6767" w:rsidRPr="009A6767" w:rsidRDefault="009A6767" w:rsidP="009A6767">
            <w:pPr>
              <w:pStyle w:val="BodyText"/>
              <w:numPr>
                <w:ilvl w:val="0"/>
                <w:numId w:val="43"/>
              </w:numPr>
              <w:rPr>
                <w:rFonts w:ascii="Arial" w:hAnsi="Arial" w:cs="Arial"/>
                <w:bCs/>
                <w:szCs w:val="24"/>
              </w:rPr>
            </w:pPr>
            <w:r w:rsidRPr="009A6767">
              <w:rPr>
                <w:rFonts w:ascii="Arial" w:hAnsi="Arial" w:cs="Arial"/>
                <w:bCs/>
                <w:szCs w:val="24"/>
              </w:rPr>
              <w:t xml:space="preserve">The Local Resilience Forum continues to identify cyber-attacks, severe weather and terrorism as long-term civil emergency threats. </w:t>
            </w:r>
          </w:p>
          <w:p w14:paraId="7CA80A27" w14:textId="77777777" w:rsidR="009A6767" w:rsidRPr="009A6767" w:rsidRDefault="009A6767" w:rsidP="009A6767">
            <w:pPr>
              <w:pStyle w:val="BodyText"/>
              <w:numPr>
                <w:ilvl w:val="0"/>
                <w:numId w:val="43"/>
              </w:numPr>
              <w:rPr>
                <w:rFonts w:ascii="Arial" w:hAnsi="Arial" w:cs="Arial"/>
                <w:bCs/>
                <w:szCs w:val="24"/>
              </w:rPr>
            </w:pPr>
            <w:r w:rsidRPr="009A6767">
              <w:rPr>
                <w:rFonts w:ascii="Arial" w:hAnsi="Arial" w:cs="Arial"/>
                <w:bCs/>
                <w:szCs w:val="24"/>
              </w:rPr>
              <w:t xml:space="preserve">Cyber security attacks are predicted to evolve and increase.  The scale and diversity of information on digital platforms makes policing a high value target.  </w:t>
            </w:r>
          </w:p>
        </w:tc>
      </w:tr>
      <w:tr w:rsidR="009A6767" w:rsidRPr="009A6767" w14:paraId="4D699A59" w14:textId="77777777" w:rsidTr="009A6767">
        <w:tc>
          <w:tcPr>
            <w:tcW w:w="1897" w:type="dxa"/>
            <w:tcBorders>
              <w:top w:val="single" w:sz="4" w:space="0" w:color="auto"/>
              <w:left w:val="single" w:sz="4" w:space="0" w:color="auto"/>
              <w:bottom w:val="single" w:sz="4" w:space="0" w:color="auto"/>
              <w:right w:val="single" w:sz="4" w:space="0" w:color="auto"/>
            </w:tcBorders>
            <w:hideMark/>
          </w:tcPr>
          <w:p w14:paraId="235534AD" w14:textId="77777777" w:rsidR="009A6767" w:rsidRPr="009A6767" w:rsidRDefault="009A6767" w:rsidP="009A6767">
            <w:pPr>
              <w:pStyle w:val="BodyText"/>
              <w:ind w:left="709" w:hanging="709"/>
              <w:rPr>
                <w:rFonts w:ascii="Arial" w:hAnsi="Arial" w:cs="Arial"/>
                <w:b/>
                <w:bCs/>
                <w:szCs w:val="24"/>
              </w:rPr>
            </w:pPr>
            <w:r w:rsidRPr="009A6767">
              <w:rPr>
                <w:rFonts w:ascii="Arial" w:hAnsi="Arial" w:cs="Arial"/>
                <w:b/>
                <w:bCs/>
                <w:szCs w:val="24"/>
              </w:rPr>
              <w:lastRenderedPageBreak/>
              <w:t xml:space="preserve">Workforce Challenges and Enabling functions </w:t>
            </w:r>
          </w:p>
        </w:tc>
        <w:tc>
          <w:tcPr>
            <w:tcW w:w="7176" w:type="dxa"/>
            <w:tcBorders>
              <w:top w:val="single" w:sz="4" w:space="0" w:color="auto"/>
              <w:left w:val="single" w:sz="4" w:space="0" w:color="auto"/>
              <w:bottom w:val="single" w:sz="4" w:space="0" w:color="auto"/>
              <w:right w:val="single" w:sz="4" w:space="0" w:color="auto"/>
            </w:tcBorders>
            <w:hideMark/>
          </w:tcPr>
          <w:p w14:paraId="16D294BC"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Given significant recruitment over the last four years, there are high levels of inexperience with 21.2% of officers student officers and 31.8% of patrol officers student officers (however this is an improvement on FMS6 where the numbers were 27% and 40.5% respectively).</w:t>
            </w:r>
          </w:p>
          <w:p w14:paraId="27A0B981"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There remains strong focus from the new Government on maintaining officer numbers and protecting neighbourhood policing.  This provides challenges for the Force within the context of financial pressures.  Maintaining officer numbers whist making financial savings may lead to reverse civilianisation in order to make the required savings (grey roles).</w:t>
            </w:r>
          </w:p>
          <w:p w14:paraId="5BF94F18"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 xml:space="preserve">The competitive labour market presents a challenge around both attracting the skills needed in policing and retaining them. </w:t>
            </w:r>
          </w:p>
          <w:p w14:paraId="065C45A2"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The Force has been graded as Requires Improvement for the Workforce with AFIs around workloads, PDR and wellbeing (high risk roles).</w:t>
            </w:r>
          </w:p>
          <w:p w14:paraId="1CE7F946"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Whilst workforce representation is improving (particularly as a result of the PUP), the representation of black officers remains particularly low.</w:t>
            </w:r>
          </w:p>
          <w:p w14:paraId="0A52A65C"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 xml:space="preserve">There has been an increase in sickness over the last 12 months with mental health still accounting for the largest proportion of sickness.  </w:t>
            </w:r>
          </w:p>
          <w:p w14:paraId="1FC4C62E"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 xml:space="preserve">Professional Standards demand is increasing around reactive investigations, complaints, misconduct hearings, conduct cases and hearings, due to the strong focus of the Force in this area and in particular around VAWG.  </w:t>
            </w:r>
          </w:p>
          <w:p w14:paraId="5AF3935F" w14:textId="77777777" w:rsidR="009A6767" w:rsidRPr="009A6767" w:rsidRDefault="009A6767" w:rsidP="009A6767">
            <w:pPr>
              <w:pStyle w:val="BodyText"/>
              <w:numPr>
                <w:ilvl w:val="0"/>
                <w:numId w:val="44"/>
              </w:numPr>
              <w:rPr>
                <w:rFonts w:ascii="Arial" w:hAnsi="Arial" w:cs="Arial"/>
                <w:bCs/>
                <w:szCs w:val="24"/>
              </w:rPr>
            </w:pPr>
            <w:r w:rsidRPr="009A6767">
              <w:rPr>
                <w:rFonts w:ascii="Arial" w:hAnsi="Arial" w:cs="Arial"/>
                <w:bCs/>
                <w:szCs w:val="24"/>
              </w:rPr>
              <w:t xml:space="preserve">Digital demand is increasing with a national and local focus on using technology to reduce demand, be more efficient and productive and prevent/detect/investigate  crime.  A large proportion of PBB savings are dependent on digital solutions. </w:t>
            </w:r>
          </w:p>
        </w:tc>
      </w:tr>
    </w:tbl>
    <w:p w14:paraId="67532551" w14:textId="77777777" w:rsidR="009A6767" w:rsidRPr="009A6767" w:rsidRDefault="009A6767" w:rsidP="009A6767">
      <w:pPr>
        <w:pStyle w:val="BodyText"/>
        <w:rPr>
          <w:rFonts w:ascii="Arial" w:hAnsi="Arial" w:cs="Arial"/>
          <w:bCs/>
          <w:szCs w:val="24"/>
        </w:rPr>
      </w:pPr>
    </w:p>
    <w:p w14:paraId="7BCB7E39" w14:textId="2113F62C" w:rsidR="009A6767" w:rsidRPr="009A6767" w:rsidRDefault="00472BC3" w:rsidP="00A0529A">
      <w:pPr>
        <w:pStyle w:val="BodyText"/>
        <w:ind w:left="720" w:hanging="720"/>
        <w:rPr>
          <w:rFonts w:ascii="Arial" w:hAnsi="Arial" w:cs="Arial"/>
          <w:bCs/>
          <w:szCs w:val="24"/>
        </w:rPr>
      </w:pPr>
      <w:r>
        <w:rPr>
          <w:rFonts w:ascii="Arial" w:hAnsi="Arial" w:cs="Arial"/>
          <w:bCs/>
          <w:szCs w:val="24"/>
        </w:rPr>
        <w:t>11</w:t>
      </w:r>
      <w:r w:rsidR="009A6767" w:rsidRPr="009A6767">
        <w:rPr>
          <w:rFonts w:ascii="Arial" w:hAnsi="Arial" w:cs="Arial"/>
          <w:bCs/>
          <w:szCs w:val="24"/>
        </w:rPr>
        <w:t xml:space="preserve">.4   </w:t>
      </w:r>
      <w:r w:rsidR="009A6767" w:rsidRPr="009A6767">
        <w:rPr>
          <w:rFonts w:ascii="Arial" w:hAnsi="Arial" w:cs="Arial"/>
          <w:bCs/>
          <w:szCs w:val="24"/>
        </w:rPr>
        <w:tab/>
        <w:t xml:space="preserve">The longer-term position needs to ensure that the West Yorkshire Police operating model remains fit for purpose for the future, so that the Force has the capacity and capability to deal with the growing and complex operational challenges highlighted above.  </w:t>
      </w:r>
    </w:p>
    <w:p w14:paraId="62491AF3" w14:textId="48B63CD4" w:rsidR="00EF7F14" w:rsidRPr="00EF7F14" w:rsidRDefault="00EF7F14" w:rsidP="009A6767">
      <w:pPr>
        <w:pStyle w:val="BodyText"/>
        <w:spacing w:before="7"/>
        <w:ind w:left="709" w:hanging="709"/>
      </w:pPr>
    </w:p>
    <w:p w14:paraId="299BB61E" w14:textId="77777777" w:rsidR="00156D6E" w:rsidRDefault="00156D6E" w:rsidP="00887E34">
      <w:pPr>
        <w:pStyle w:val="BodyTextIndent"/>
        <w:ind w:left="0" w:firstLine="0"/>
        <w:jc w:val="left"/>
        <w:rPr>
          <w:rFonts w:ascii="Arial" w:hAnsi="Arial"/>
          <w:b/>
        </w:rPr>
      </w:pPr>
    </w:p>
    <w:p w14:paraId="55A66E92" w14:textId="77777777" w:rsidR="00156D6E" w:rsidRPr="001F4EC9" w:rsidRDefault="00FF2F46" w:rsidP="00887E34">
      <w:pPr>
        <w:pStyle w:val="BodyTextIndent"/>
        <w:jc w:val="left"/>
        <w:rPr>
          <w:rFonts w:ascii="Arial" w:hAnsi="Arial"/>
          <w:b/>
        </w:rPr>
      </w:pPr>
      <w:r>
        <w:rPr>
          <w:rFonts w:ascii="Arial" w:hAnsi="Arial"/>
          <w:b/>
        </w:rPr>
        <w:t>12.</w:t>
      </w:r>
      <w:r>
        <w:rPr>
          <w:rFonts w:ascii="Arial" w:hAnsi="Arial"/>
          <w:b/>
        </w:rPr>
        <w:tab/>
      </w:r>
      <w:r w:rsidR="00156D6E" w:rsidRPr="001F4EC9">
        <w:rPr>
          <w:rFonts w:ascii="Arial" w:hAnsi="Arial"/>
          <w:b/>
        </w:rPr>
        <w:t>PROVISIONS, RESERVES AND BALANCES</w:t>
      </w:r>
    </w:p>
    <w:p w14:paraId="6CECB06D" w14:textId="77777777" w:rsidR="00156D6E" w:rsidRPr="001F4EC9" w:rsidRDefault="00156D6E" w:rsidP="00887E34">
      <w:pPr>
        <w:pStyle w:val="BodyTextIndent"/>
        <w:ind w:left="0" w:firstLine="0"/>
        <w:jc w:val="left"/>
        <w:rPr>
          <w:rFonts w:ascii="Arial" w:hAnsi="Arial"/>
          <w:b/>
        </w:rPr>
      </w:pPr>
    </w:p>
    <w:p w14:paraId="4F393A2F" w14:textId="77777777" w:rsidR="00156D6E" w:rsidRPr="001F4EC9" w:rsidRDefault="00FF2F46" w:rsidP="00887E34">
      <w:pPr>
        <w:pStyle w:val="BodyTextIndent"/>
        <w:jc w:val="left"/>
        <w:rPr>
          <w:rFonts w:ascii="Arial" w:hAnsi="Arial"/>
        </w:rPr>
      </w:pPr>
      <w:r>
        <w:rPr>
          <w:rFonts w:ascii="Arial" w:hAnsi="Arial"/>
        </w:rPr>
        <w:t>12.1</w:t>
      </w:r>
      <w:r w:rsidR="00156D6E">
        <w:rPr>
          <w:rFonts w:ascii="Arial" w:hAnsi="Arial"/>
        </w:rPr>
        <w:t>.</w:t>
      </w:r>
      <w:r w:rsidR="00156D6E">
        <w:rPr>
          <w:rFonts w:ascii="Arial" w:hAnsi="Arial"/>
        </w:rPr>
        <w:tab/>
      </w:r>
      <w:r w:rsidR="00156D6E" w:rsidRPr="001F4EC9">
        <w:rPr>
          <w:rFonts w:ascii="Arial" w:hAnsi="Arial"/>
        </w:rPr>
        <w:t>The adequacy of provisions, reserves and general balances is reviewed as part of the budget planning process and again at the year-end during the closure of accounts.  The current position is shown at Appendix E.</w:t>
      </w:r>
    </w:p>
    <w:p w14:paraId="22A596C8" w14:textId="19AFA60B" w:rsidR="00156D6E" w:rsidRPr="001F4EC9" w:rsidRDefault="00156D6E" w:rsidP="000C4185">
      <w:pPr>
        <w:pStyle w:val="BodyTextIndent"/>
        <w:ind w:left="0" w:firstLine="0"/>
        <w:jc w:val="left"/>
        <w:rPr>
          <w:rFonts w:ascii="Arial" w:hAnsi="Arial"/>
        </w:rPr>
      </w:pPr>
    </w:p>
    <w:p w14:paraId="4596312D" w14:textId="77777777" w:rsidR="00156D6E" w:rsidRPr="001F4EC9" w:rsidRDefault="00156D6E" w:rsidP="00887E34">
      <w:pPr>
        <w:pStyle w:val="BodyTextIndent"/>
        <w:jc w:val="left"/>
        <w:rPr>
          <w:rFonts w:ascii="Arial" w:hAnsi="Arial"/>
          <w:color w:val="0000FF"/>
          <w:sz w:val="16"/>
          <w:szCs w:val="16"/>
        </w:rPr>
      </w:pPr>
    </w:p>
    <w:p w14:paraId="0B121154" w14:textId="2C760B95" w:rsidR="00131DF3" w:rsidRDefault="00FF2F46" w:rsidP="00F135BD">
      <w:pPr>
        <w:ind w:left="720" w:hanging="720"/>
      </w:pPr>
      <w:r>
        <w:t>12.</w:t>
      </w:r>
      <w:r w:rsidR="0040157A">
        <w:t>2</w:t>
      </w:r>
      <w:r>
        <w:tab/>
      </w:r>
      <w:r w:rsidR="00156D6E" w:rsidRPr="004D3E3A">
        <w:t xml:space="preserve">The LAAP Bulletin requires that for each earmarked reserve there should be a clear protocol setting out the reason for the reserve, how and when it can be used, and management, control and review processes. </w:t>
      </w:r>
      <w:r w:rsidR="00156D6E" w:rsidRPr="00CB504F">
        <w:t xml:space="preserve"> A protocol for the</w:t>
      </w:r>
      <w:r w:rsidR="00A507F1" w:rsidRPr="00CB504F">
        <w:t xml:space="preserve"> </w:t>
      </w:r>
      <w:r w:rsidR="00F135BD">
        <w:t>Mayor</w:t>
      </w:r>
      <w:r w:rsidR="00156D6E" w:rsidRPr="00CB504F">
        <w:t>’s earmarked reserves is set out at Appendix G for approval.</w:t>
      </w:r>
      <w:r w:rsidR="005B48C5">
        <w:t xml:space="preserve"> </w:t>
      </w:r>
    </w:p>
    <w:p w14:paraId="4F2F774A" w14:textId="77777777" w:rsidR="008601D4" w:rsidRDefault="008601D4" w:rsidP="00131DF3">
      <w:pPr>
        <w:ind w:left="720" w:hanging="720"/>
      </w:pPr>
    </w:p>
    <w:p w14:paraId="6B003F6D" w14:textId="5B688428" w:rsidR="008601D4" w:rsidRPr="00197AEB" w:rsidRDefault="008601D4" w:rsidP="008601D4">
      <w:pPr>
        <w:spacing w:after="160" w:line="259" w:lineRule="auto"/>
        <w:ind w:left="720" w:hanging="720"/>
        <w:jc w:val="both"/>
      </w:pPr>
      <w:r>
        <w:t>12.</w:t>
      </w:r>
      <w:r w:rsidR="0040157A">
        <w:t>3</w:t>
      </w:r>
      <w:r>
        <w:tab/>
      </w:r>
      <w:r w:rsidRPr="00BC019A">
        <w:t xml:space="preserve">The core focus of the financial strategy is on sustainability and affordability. Whilst again an element of revenue reserves will be used to fund spending plans. The Reserves Strategy reflects </w:t>
      </w:r>
      <w:r w:rsidR="003A2706" w:rsidRPr="00BC019A">
        <w:t xml:space="preserve">the expected position of having to use </w:t>
      </w:r>
      <w:r w:rsidR="00546BC0" w:rsidRPr="00BC019A">
        <w:t>reserves in the short to medium term until the required level of savings are delivered through PBB.</w:t>
      </w:r>
      <w:r w:rsidRPr="00BC019A">
        <w:t xml:space="preserve"> </w:t>
      </w:r>
      <w:r w:rsidR="00BC019A" w:rsidRPr="00BC019A">
        <w:t>In the medium</w:t>
      </w:r>
      <w:r w:rsidRPr="00BC019A">
        <w:t xml:space="preserve"> </w:t>
      </w:r>
      <w:r w:rsidR="00BC019A" w:rsidRPr="00BC019A">
        <w:t>to long term it is anticipated that</w:t>
      </w:r>
      <w:r w:rsidRPr="00BC019A">
        <w:t xml:space="preserve"> reserves</w:t>
      </w:r>
      <w:r w:rsidR="00BC019A" w:rsidRPr="00BC019A">
        <w:t xml:space="preserve"> will just be</w:t>
      </w:r>
      <w:r w:rsidRPr="00BC019A">
        <w:t xml:space="preserve"> held for risk, in line with the CIPFA guidance and PFI costs only by the end of </w:t>
      </w:r>
      <w:r w:rsidR="00BC019A" w:rsidRPr="00BC019A">
        <w:t>the MTFF period</w:t>
      </w:r>
      <w:r w:rsidRPr="00BC019A">
        <w:t>.</w:t>
      </w:r>
      <w:r w:rsidRPr="00197AEB">
        <w:t xml:space="preserve"> </w:t>
      </w:r>
    </w:p>
    <w:p w14:paraId="15C1C0AC" w14:textId="0ADC5B9E" w:rsidR="00D57096" w:rsidRPr="00D57096" w:rsidRDefault="008601D4" w:rsidP="00D23889">
      <w:pPr>
        <w:spacing w:after="160" w:line="259" w:lineRule="auto"/>
        <w:ind w:left="720" w:hanging="720"/>
      </w:pPr>
      <w:r w:rsidRPr="00197AEB">
        <w:t>12.</w:t>
      </w:r>
      <w:r w:rsidR="0040157A">
        <w:t>4</w:t>
      </w:r>
      <w:r w:rsidRPr="00197AEB">
        <w:tab/>
      </w:r>
      <w:r w:rsidR="00D57096">
        <w:t xml:space="preserve">A </w:t>
      </w:r>
      <w:r w:rsidR="00D57096" w:rsidRPr="00CE3608">
        <w:t xml:space="preserve">contribution will be made to the general reserve to ensure that the General Reserve level is in line with the Reserves Strategy of between 2.5% and 3.5% of the net revenue budget. This </w:t>
      </w:r>
      <w:r w:rsidR="00D57096" w:rsidRPr="001D2BB9">
        <w:t>contribution of £</w:t>
      </w:r>
      <w:r w:rsidR="001D2BB9">
        <w:t xml:space="preserve">300,000 </w:t>
      </w:r>
      <w:r w:rsidR="00D57096" w:rsidRPr="00CE3608">
        <w:t>keeps the general reserve within the stated threshold in future years.</w:t>
      </w:r>
    </w:p>
    <w:p w14:paraId="76331BAB" w14:textId="76DDCCCE" w:rsidR="00725510" w:rsidRDefault="00D57096" w:rsidP="00D57096">
      <w:pPr>
        <w:spacing w:after="160" w:line="259" w:lineRule="auto"/>
        <w:ind w:left="720" w:hanging="720"/>
      </w:pPr>
      <w:r>
        <w:t>12.</w:t>
      </w:r>
      <w:r w:rsidR="00D23889">
        <w:t>5</w:t>
      </w:r>
      <w:r>
        <w:tab/>
      </w:r>
      <w:r w:rsidRPr="00CE3608">
        <w:t>The current level of general balances is around 2.5% of the net revenue budget.</w:t>
      </w:r>
    </w:p>
    <w:p w14:paraId="5E6CDD74" w14:textId="77777777" w:rsidR="0008595F" w:rsidRDefault="0008595F" w:rsidP="00887E34">
      <w:pPr>
        <w:pStyle w:val="BodyText"/>
        <w:jc w:val="left"/>
        <w:rPr>
          <w:rFonts w:ascii="Arial" w:hAnsi="Arial" w:cs="Arial"/>
          <w:b/>
        </w:rPr>
      </w:pPr>
    </w:p>
    <w:p w14:paraId="11788402" w14:textId="77777777" w:rsidR="002F51B5" w:rsidRPr="00CB504F" w:rsidRDefault="002F51B5" w:rsidP="00887E34">
      <w:pPr>
        <w:pStyle w:val="BodyText"/>
        <w:jc w:val="left"/>
        <w:rPr>
          <w:rFonts w:ascii="Arial" w:hAnsi="Arial" w:cs="Arial"/>
          <w:b/>
        </w:rPr>
      </w:pPr>
      <w:r w:rsidRPr="00CB504F">
        <w:rPr>
          <w:rFonts w:ascii="Arial" w:hAnsi="Arial" w:cs="Arial"/>
          <w:b/>
        </w:rPr>
        <w:t>13</w:t>
      </w:r>
      <w:r w:rsidRPr="00CB504F">
        <w:rPr>
          <w:rFonts w:ascii="Arial" w:hAnsi="Arial" w:cs="Arial"/>
          <w:b/>
        </w:rPr>
        <w:tab/>
        <w:t>LONGER TERM PROJECTIONS</w:t>
      </w:r>
    </w:p>
    <w:p w14:paraId="576D0489" w14:textId="77777777" w:rsidR="002F51B5" w:rsidRDefault="002F51B5" w:rsidP="00887E34">
      <w:pPr>
        <w:ind w:left="720"/>
      </w:pPr>
    </w:p>
    <w:p w14:paraId="22C9D89C" w14:textId="787D75A2" w:rsidR="00E80FC4" w:rsidRPr="000B4DED" w:rsidRDefault="002F51B5" w:rsidP="00E80FC4">
      <w:pPr>
        <w:pStyle w:val="BodyText"/>
        <w:spacing w:before="7"/>
        <w:ind w:left="709" w:hanging="709"/>
        <w:rPr>
          <w:rFonts w:ascii="Arial" w:hAnsi="Arial" w:cs="Arial"/>
          <w:bCs/>
        </w:rPr>
      </w:pPr>
      <w:r w:rsidRPr="00BF4A52">
        <w:rPr>
          <w:rFonts w:ascii="Arial" w:hAnsi="Arial" w:cs="Arial"/>
        </w:rPr>
        <w:t>13.1</w:t>
      </w:r>
      <w:r>
        <w:tab/>
      </w:r>
      <w:r w:rsidR="00E80FC4" w:rsidRPr="0097199B">
        <w:rPr>
          <w:rFonts w:ascii="Arial" w:hAnsi="Arial" w:cs="Arial"/>
          <w:bCs/>
        </w:rPr>
        <w:t xml:space="preserve">The Medium-Term Financial Forecast (MTFF) presented today shows a balanced </w:t>
      </w:r>
      <w:r w:rsidR="00E80FC4" w:rsidRPr="000B4DED">
        <w:rPr>
          <w:rFonts w:ascii="Arial" w:hAnsi="Arial" w:cs="Arial"/>
          <w:bCs/>
        </w:rPr>
        <w:t>position for 2025/26 following the use of £9.</w:t>
      </w:r>
      <w:r w:rsidR="00833370">
        <w:rPr>
          <w:rFonts w:ascii="Arial" w:hAnsi="Arial" w:cs="Arial"/>
          <w:bCs/>
        </w:rPr>
        <w:t>6</w:t>
      </w:r>
      <w:r w:rsidR="00E80FC4" w:rsidRPr="000B4DED">
        <w:rPr>
          <w:rFonts w:ascii="Arial" w:hAnsi="Arial" w:cs="Arial"/>
          <w:bCs/>
        </w:rPr>
        <w:t>m of revenue reserves and using the £14 precept flexibility. The position for future years, if the significant saving plans in place are met, is:</w:t>
      </w:r>
    </w:p>
    <w:p w14:paraId="3487901F" w14:textId="77777777" w:rsidR="00E80FC4" w:rsidRPr="000B4DED" w:rsidRDefault="00E80FC4" w:rsidP="00E80FC4">
      <w:pPr>
        <w:pStyle w:val="BodyText"/>
        <w:spacing w:before="7"/>
        <w:rPr>
          <w:rFonts w:ascii="Arial" w:hAnsi="Arial" w:cs="Arial"/>
          <w:bCs/>
        </w:rPr>
      </w:pPr>
    </w:p>
    <w:p w14:paraId="4FB0B89F" w14:textId="77777777" w:rsidR="00E80FC4" w:rsidRPr="000B4DED" w:rsidRDefault="00E80FC4" w:rsidP="00E80FC4">
      <w:pPr>
        <w:pStyle w:val="BodyText"/>
        <w:widowControl w:val="0"/>
        <w:numPr>
          <w:ilvl w:val="0"/>
          <w:numId w:val="14"/>
        </w:numPr>
        <w:autoSpaceDE w:val="0"/>
        <w:autoSpaceDN w:val="0"/>
        <w:spacing w:before="7"/>
        <w:jc w:val="left"/>
        <w:rPr>
          <w:rFonts w:ascii="Arial" w:hAnsi="Arial" w:cs="Arial"/>
          <w:bCs/>
        </w:rPr>
      </w:pPr>
      <w:r w:rsidRPr="000B4DED">
        <w:rPr>
          <w:rFonts w:ascii="Arial" w:hAnsi="Arial" w:cs="Arial"/>
          <w:bCs/>
        </w:rPr>
        <w:t>2026/27 £12.656m shortfall</w:t>
      </w:r>
    </w:p>
    <w:p w14:paraId="49A790EA" w14:textId="77777777" w:rsidR="00E80FC4" w:rsidRDefault="00E80FC4" w:rsidP="00E80FC4">
      <w:pPr>
        <w:pStyle w:val="BodyText"/>
        <w:widowControl w:val="0"/>
        <w:numPr>
          <w:ilvl w:val="0"/>
          <w:numId w:val="14"/>
        </w:numPr>
        <w:autoSpaceDE w:val="0"/>
        <w:autoSpaceDN w:val="0"/>
        <w:spacing w:before="7"/>
        <w:jc w:val="left"/>
        <w:rPr>
          <w:rFonts w:ascii="Arial" w:hAnsi="Arial" w:cs="Arial"/>
          <w:bCs/>
        </w:rPr>
      </w:pPr>
      <w:r w:rsidRPr="000B4DED">
        <w:rPr>
          <w:rFonts w:ascii="Arial" w:hAnsi="Arial" w:cs="Arial"/>
          <w:bCs/>
        </w:rPr>
        <w:t>2027/28 £14.703m shortfall</w:t>
      </w:r>
    </w:p>
    <w:p w14:paraId="3C6F4317" w14:textId="77777777" w:rsidR="00E80FC4" w:rsidRPr="000B4DED" w:rsidRDefault="00E80FC4" w:rsidP="00E80FC4">
      <w:pPr>
        <w:pStyle w:val="BodyText"/>
        <w:widowControl w:val="0"/>
        <w:numPr>
          <w:ilvl w:val="0"/>
          <w:numId w:val="14"/>
        </w:numPr>
        <w:autoSpaceDE w:val="0"/>
        <w:autoSpaceDN w:val="0"/>
        <w:spacing w:before="7"/>
        <w:jc w:val="left"/>
        <w:rPr>
          <w:rFonts w:ascii="Arial" w:hAnsi="Arial" w:cs="Arial"/>
          <w:bCs/>
        </w:rPr>
      </w:pPr>
      <w:r>
        <w:rPr>
          <w:rFonts w:ascii="Arial" w:hAnsi="Arial" w:cs="Arial"/>
          <w:bCs/>
        </w:rPr>
        <w:t>2028/29 £15.002m shortfall</w:t>
      </w:r>
    </w:p>
    <w:p w14:paraId="136D9A48" w14:textId="77777777" w:rsidR="00E80FC4" w:rsidRDefault="00E80FC4" w:rsidP="00E80FC4">
      <w:pPr>
        <w:pStyle w:val="BodyText"/>
        <w:spacing w:before="7"/>
        <w:rPr>
          <w:rFonts w:ascii="Arial" w:hAnsi="Arial" w:cs="Arial"/>
          <w:bCs/>
        </w:rPr>
      </w:pPr>
    </w:p>
    <w:p w14:paraId="6EC47639" w14:textId="77777777" w:rsidR="00E80FC4" w:rsidRDefault="00E80FC4" w:rsidP="00E80FC4">
      <w:pPr>
        <w:pStyle w:val="BodyText"/>
        <w:spacing w:before="7"/>
        <w:ind w:left="717"/>
        <w:rPr>
          <w:rFonts w:ascii="Arial" w:hAnsi="Arial" w:cs="Arial"/>
          <w:bCs/>
        </w:rPr>
      </w:pPr>
      <w:r w:rsidRPr="3661E670">
        <w:rPr>
          <w:rFonts w:ascii="Arial" w:hAnsi="Arial" w:cs="Arial"/>
        </w:rPr>
        <w:t>Within these figures it has been assumed that the future years Band D Council Tax increase is £</w:t>
      </w:r>
      <w:r>
        <w:rPr>
          <w:rFonts w:ascii="Arial" w:hAnsi="Arial" w:cs="Arial"/>
        </w:rPr>
        <w:t>10</w:t>
      </w:r>
      <w:r w:rsidRPr="3661E670">
        <w:rPr>
          <w:rFonts w:ascii="Arial" w:hAnsi="Arial" w:cs="Arial"/>
        </w:rPr>
        <w:t xml:space="preserve">.  </w:t>
      </w:r>
    </w:p>
    <w:p w14:paraId="01F86026" w14:textId="77777777" w:rsidR="00E80FC4" w:rsidRDefault="00E80FC4" w:rsidP="00E80FC4">
      <w:pPr>
        <w:pStyle w:val="BodyText"/>
        <w:spacing w:before="7"/>
        <w:rPr>
          <w:rFonts w:ascii="Arial" w:hAnsi="Arial" w:cs="Arial"/>
          <w:bCs/>
        </w:rPr>
      </w:pPr>
    </w:p>
    <w:p w14:paraId="308D3399" w14:textId="77777777" w:rsidR="00E80FC4" w:rsidRDefault="00E80FC4" w:rsidP="00E80FC4">
      <w:pPr>
        <w:pStyle w:val="BodyText"/>
        <w:spacing w:before="7"/>
        <w:ind w:left="717"/>
        <w:rPr>
          <w:rFonts w:ascii="Arial" w:hAnsi="Arial" w:cs="Arial"/>
          <w:bCs/>
        </w:rPr>
      </w:pPr>
      <w:r>
        <w:rPr>
          <w:rFonts w:ascii="Arial" w:hAnsi="Arial" w:cs="Arial"/>
          <w:bCs/>
        </w:rPr>
        <w:t xml:space="preserve">Within the MTFF it has also been assumed that core Home Office grant would be flat cash. </w:t>
      </w:r>
    </w:p>
    <w:p w14:paraId="34014B5A" w14:textId="77777777" w:rsidR="00E80FC4" w:rsidRPr="008A2A55" w:rsidRDefault="00E80FC4" w:rsidP="00E80FC4">
      <w:pPr>
        <w:pStyle w:val="BodyText"/>
        <w:spacing w:before="7"/>
        <w:rPr>
          <w:rFonts w:ascii="Arial" w:hAnsi="Arial" w:cs="Arial"/>
          <w:bCs/>
        </w:rPr>
      </w:pPr>
    </w:p>
    <w:p w14:paraId="30B49336" w14:textId="77777777" w:rsidR="00E80FC4" w:rsidRPr="000B4DED" w:rsidRDefault="00E80FC4" w:rsidP="00E80FC4">
      <w:pPr>
        <w:pStyle w:val="BodyText"/>
        <w:spacing w:before="7"/>
        <w:ind w:firstLine="717"/>
        <w:rPr>
          <w:rFonts w:ascii="Arial" w:hAnsi="Arial" w:cs="Arial"/>
          <w:b/>
          <w:bCs/>
        </w:rPr>
      </w:pPr>
      <w:bookmarkStart w:id="0" w:name="_Hlk88563358"/>
      <w:r w:rsidRPr="000B4DED">
        <w:rPr>
          <w:rFonts w:ascii="Arial" w:hAnsi="Arial" w:cs="Arial"/>
          <w:b/>
          <w:bCs/>
        </w:rPr>
        <w:t>Largest Risk Areas for Assumptions:</w:t>
      </w:r>
    </w:p>
    <w:p w14:paraId="1A805E74" w14:textId="77777777" w:rsidR="00E80FC4" w:rsidRPr="000B4DED" w:rsidRDefault="00E80FC4" w:rsidP="00E80FC4">
      <w:pPr>
        <w:pStyle w:val="BodyText"/>
        <w:spacing w:before="7"/>
        <w:rPr>
          <w:rFonts w:ascii="Arial" w:hAnsi="Arial" w:cs="Arial"/>
          <w:b/>
          <w:bCs/>
          <w:u w:val="single"/>
        </w:rPr>
      </w:pPr>
    </w:p>
    <w:bookmarkEnd w:id="0"/>
    <w:p w14:paraId="49B447D4" w14:textId="77777777" w:rsidR="00E80FC4" w:rsidRPr="000B4DED" w:rsidRDefault="00E80FC4" w:rsidP="00E80FC4">
      <w:pPr>
        <w:pStyle w:val="ListParagraph"/>
        <w:widowControl w:val="0"/>
        <w:numPr>
          <w:ilvl w:val="0"/>
          <w:numId w:val="26"/>
        </w:numPr>
        <w:autoSpaceDE w:val="0"/>
        <w:autoSpaceDN w:val="0"/>
        <w:jc w:val="both"/>
        <w:rPr>
          <w:bCs/>
        </w:rPr>
      </w:pPr>
      <w:r w:rsidRPr="000B4DED">
        <w:rPr>
          <w:bCs/>
        </w:rPr>
        <w:t>Inflation assumptions, especially in utility costs have had a detailed review again for 2025/26 due to the significant inflationary pressures within the economy over the last few years. There has been significant fluctuation in those forecasts over the last 12 months due to the instability within global economies at this current time. There is also risk of market conditions not returning to ‘normal’ and elevated inflation rates staying at these levels for longer than assumed.</w:t>
      </w:r>
    </w:p>
    <w:p w14:paraId="243478FE" w14:textId="77777777" w:rsidR="00E80FC4" w:rsidRPr="00142154" w:rsidRDefault="00E80FC4" w:rsidP="00E80FC4">
      <w:pPr>
        <w:pStyle w:val="BodyText"/>
        <w:spacing w:before="7"/>
        <w:ind w:left="717" w:hanging="357"/>
        <w:rPr>
          <w:rFonts w:ascii="Arial" w:hAnsi="Arial" w:cs="Arial"/>
          <w:bCs/>
          <w:color w:val="00B0F0"/>
        </w:rPr>
      </w:pPr>
    </w:p>
    <w:p w14:paraId="0C126E1C" w14:textId="77777777" w:rsidR="00E80FC4" w:rsidRPr="00142154" w:rsidRDefault="00E80FC4" w:rsidP="00E80FC4">
      <w:pPr>
        <w:pStyle w:val="ListParagraph"/>
        <w:widowControl w:val="0"/>
        <w:numPr>
          <w:ilvl w:val="0"/>
          <w:numId w:val="26"/>
        </w:numPr>
        <w:autoSpaceDE w:val="0"/>
        <w:autoSpaceDN w:val="0"/>
        <w:jc w:val="both"/>
      </w:pPr>
      <w:r w:rsidRPr="00142154">
        <w:t xml:space="preserve">An assumed 2.0% Officer and Staff Pay award has been built in for the 2025 pay award (takes effect in September 2025).  It is uncertain at what level the pay rise will be and at what level the Home Office would fund the additionality. In line with many other areas, we have factored in a pressure of 2%. Every 1% increase on pay increases our cost pressures by </w:t>
      </w:r>
      <w:r w:rsidRPr="00556614">
        <w:t>around £5m.</w:t>
      </w:r>
    </w:p>
    <w:p w14:paraId="7032E3EB" w14:textId="3A16E6BD" w:rsidR="002F51B5" w:rsidRDefault="002F51B5" w:rsidP="00E80FC4">
      <w:pPr>
        <w:ind w:left="709" w:hanging="709"/>
      </w:pPr>
    </w:p>
    <w:p w14:paraId="6B5EAA9A" w14:textId="77777777" w:rsidR="00FF2F46" w:rsidRDefault="002F51B5" w:rsidP="00887E34">
      <w:pPr>
        <w:tabs>
          <w:tab w:val="num" w:pos="800"/>
        </w:tabs>
        <w:rPr>
          <w:b/>
        </w:rPr>
      </w:pPr>
      <w:r w:rsidRPr="002F51B5">
        <w:rPr>
          <w:b/>
        </w:rPr>
        <w:t>1</w:t>
      </w:r>
      <w:r>
        <w:rPr>
          <w:b/>
        </w:rPr>
        <w:t>4</w:t>
      </w:r>
      <w:r w:rsidR="00D1256A">
        <w:rPr>
          <w:b/>
        </w:rPr>
        <w:t>.</w:t>
      </w:r>
      <w:r>
        <w:tab/>
      </w:r>
      <w:r w:rsidRPr="002F51B5">
        <w:rPr>
          <w:b/>
        </w:rPr>
        <w:t>COUNCIL TAX OPTIONS</w:t>
      </w:r>
    </w:p>
    <w:p w14:paraId="29C3B614" w14:textId="77777777" w:rsidR="002F51B5" w:rsidRPr="002F51B5" w:rsidRDefault="002F51B5" w:rsidP="00887E34">
      <w:pPr>
        <w:tabs>
          <w:tab w:val="num" w:pos="800"/>
        </w:tabs>
        <w:rPr>
          <w:b/>
        </w:rPr>
      </w:pPr>
    </w:p>
    <w:p w14:paraId="247E2B48" w14:textId="14799550" w:rsidR="00614656" w:rsidRDefault="002F51B5" w:rsidP="00614656">
      <w:pPr>
        <w:pStyle w:val="BodyText"/>
        <w:spacing w:before="7"/>
        <w:ind w:left="720" w:hanging="720"/>
        <w:rPr>
          <w:rFonts w:ascii="Arial" w:hAnsi="Arial" w:cs="Arial"/>
          <w:bCs/>
        </w:rPr>
      </w:pPr>
      <w:r w:rsidRPr="00BF4A52">
        <w:rPr>
          <w:rFonts w:ascii="Arial" w:hAnsi="Arial" w:cs="Arial"/>
        </w:rPr>
        <w:t>14</w:t>
      </w:r>
      <w:r w:rsidR="00156D6E" w:rsidRPr="00BF4A52">
        <w:rPr>
          <w:rFonts w:ascii="Arial" w:hAnsi="Arial" w:cs="Arial"/>
        </w:rPr>
        <w:t>.1</w:t>
      </w:r>
      <w:r w:rsidR="00156D6E">
        <w:tab/>
      </w:r>
      <w:bookmarkStart w:id="1" w:name="OLE_LINK1"/>
      <w:bookmarkStart w:id="2" w:name="OLE_LINK2"/>
      <w:r w:rsidR="00614656" w:rsidRPr="00B358C5">
        <w:rPr>
          <w:rFonts w:ascii="Arial" w:hAnsi="Arial" w:cs="Arial"/>
          <w:bCs/>
        </w:rPr>
        <w:t>The Mayor and the Deputy Mayor are keen to maximise resources to West Yorkshire Police due to the pressures faced and the needs of the community and therefore consider the £1</w:t>
      </w:r>
      <w:r w:rsidR="00AD4C53">
        <w:rPr>
          <w:rFonts w:ascii="Arial" w:hAnsi="Arial" w:cs="Arial"/>
          <w:bCs/>
        </w:rPr>
        <w:t>4</w:t>
      </w:r>
      <w:r w:rsidR="00614656">
        <w:rPr>
          <w:rFonts w:ascii="Arial" w:hAnsi="Arial" w:cs="Arial"/>
          <w:bCs/>
        </w:rPr>
        <w:t xml:space="preserve"> increase</w:t>
      </w:r>
      <w:r w:rsidR="00614656" w:rsidRPr="00B358C5">
        <w:rPr>
          <w:rFonts w:ascii="Arial" w:hAnsi="Arial" w:cs="Arial"/>
          <w:bCs/>
        </w:rPr>
        <w:t xml:space="preserve"> to be the only viable option.</w:t>
      </w:r>
    </w:p>
    <w:p w14:paraId="174F2759" w14:textId="77777777" w:rsidR="00614656" w:rsidRDefault="00614656" w:rsidP="00614656">
      <w:pPr>
        <w:pStyle w:val="BodyText"/>
        <w:spacing w:before="7"/>
        <w:ind w:left="720" w:hanging="720"/>
        <w:rPr>
          <w:rFonts w:ascii="Arial" w:hAnsi="Arial" w:cs="Arial"/>
          <w:bCs/>
        </w:rPr>
      </w:pPr>
    </w:p>
    <w:p w14:paraId="52A55207" w14:textId="6F5A6E16" w:rsidR="00614656" w:rsidRPr="00BE59A3" w:rsidRDefault="00614656" w:rsidP="00614656">
      <w:pPr>
        <w:pStyle w:val="BodyText"/>
        <w:spacing w:before="7"/>
        <w:ind w:left="720" w:hanging="720"/>
        <w:rPr>
          <w:rFonts w:ascii="Arial" w:hAnsi="Arial" w:cs="Arial"/>
          <w:bCs/>
          <w:highlight w:val="yellow"/>
        </w:rPr>
      </w:pPr>
      <w:r w:rsidRPr="00BF4A52">
        <w:rPr>
          <w:rFonts w:ascii="Arial" w:hAnsi="Arial" w:cs="Arial"/>
        </w:rPr>
        <w:t>14.2</w:t>
      </w:r>
      <w:r w:rsidRPr="00614656">
        <w:tab/>
      </w:r>
      <w:r w:rsidR="00DC23DD" w:rsidRPr="00DC23DD">
        <w:rPr>
          <w:rFonts w:ascii="Arial" w:hAnsi="Arial" w:cs="Arial"/>
          <w:bCs/>
        </w:rPr>
        <w:t>The new Police and Crime Plan for 2024-28 was drafted in consultation with West Yorkshire Police and it outlines the ambitious strategy for that period with aims, aspirations and objectives for policing, crime, community safety and the criminal justice system. The Plan will be launched this month (February 2025).</w:t>
      </w:r>
      <w:r w:rsidRPr="00BE59A3">
        <w:rPr>
          <w:rFonts w:ascii="Arial" w:hAnsi="Arial" w:cs="Arial"/>
          <w:bCs/>
          <w:highlight w:val="yellow"/>
        </w:rPr>
        <w:t xml:space="preserve"> </w:t>
      </w:r>
    </w:p>
    <w:p w14:paraId="2B48C870" w14:textId="77777777" w:rsidR="00614656" w:rsidRPr="00BE59A3" w:rsidRDefault="00614656" w:rsidP="00614656">
      <w:pPr>
        <w:pStyle w:val="BodyText"/>
        <w:spacing w:before="7"/>
        <w:ind w:left="720" w:hanging="720"/>
        <w:rPr>
          <w:rFonts w:ascii="Arial" w:hAnsi="Arial" w:cs="Arial"/>
          <w:bCs/>
          <w:highlight w:val="yellow"/>
        </w:rPr>
      </w:pPr>
    </w:p>
    <w:p w14:paraId="13DBCE9B" w14:textId="0ACF73B9" w:rsidR="00614656" w:rsidRDefault="00614656" w:rsidP="00DC23DD">
      <w:pPr>
        <w:pStyle w:val="BodyText"/>
        <w:spacing w:before="7"/>
        <w:ind w:left="720" w:hanging="720"/>
        <w:rPr>
          <w:rFonts w:ascii="Arial" w:hAnsi="Arial" w:cs="Arial"/>
          <w:bCs/>
        </w:rPr>
      </w:pPr>
      <w:r w:rsidRPr="00DC23DD">
        <w:rPr>
          <w:rFonts w:ascii="Arial" w:hAnsi="Arial" w:cs="Arial"/>
          <w:bCs/>
        </w:rPr>
        <w:t>14.3</w:t>
      </w:r>
      <w:r w:rsidRPr="00DC23DD">
        <w:rPr>
          <w:rFonts w:ascii="Arial" w:hAnsi="Arial" w:cs="Arial"/>
          <w:bCs/>
        </w:rPr>
        <w:tab/>
      </w:r>
      <w:r w:rsidR="00DC23DD" w:rsidRPr="00DC23DD">
        <w:rPr>
          <w:rFonts w:ascii="Arial" w:hAnsi="Arial" w:cs="Arial"/>
          <w:bCs/>
        </w:rPr>
        <w:t>As with the previous Plan, an extensive piece of work was undertaken to provide a solid evidence base for the Plan, with both an online survey and face to face engagement. The details of this engagement along with the Needs Assessment evidence base will be published when the Plan is launched.</w:t>
      </w:r>
    </w:p>
    <w:p w14:paraId="6ADA4FEA" w14:textId="77777777" w:rsidR="00DC23DD" w:rsidRPr="00BE59A3" w:rsidRDefault="00DC23DD" w:rsidP="00DC23DD">
      <w:pPr>
        <w:pStyle w:val="BodyText"/>
        <w:spacing w:before="7"/>
        <w:ind w:left="720" w:hanging="720"/>
        <w:rPr>
          <w:rFonts w:ascii="Arial" w:hAnsi="Arial" w:cs="Arial"/>
          <w:bCs/>
          <w:highlight w:val="yellow"/>
        </w:rPr>
      </w:pPr>
    </w:p>
    <w:p w14:paraId="72B68ACD" w14:textId="0507F3B5" w:rsidR="00614656" w:rsidRPr="00BE59A3" w:rsidRDefault="00614656" w:rsidP="00DC23DD">
      <w:pPr>
        <w:pStyle w:val="BodyText"/>
        <w:spacing w:before="7"/>
        <w:ind w:left="720" w:hanging="720"/>
        <w:rPr>
          <w:highlight w:val="yellow"/>
        </w:rPr>
      </w:pPr>
      <w:r w:rsidRPr="00C93AEE">
        <w:rPr>
          <w:rFonts w:ascii="Arial" w:hAnsi="Arial" w:cs="Arial"/>
          <w:bCs/>
        </w:rPr>
        <w:t xml:space="preserve">14.4 </w:t>
      </w:r>
      <w:r w:rsidRPr="00C93AEE">
        <w:rPr>
          <w:rFonts w:ascii="Arial" w:hAnsi="Arial" w:cs="Arial"/>
          <w:bCs/>
        </w:rPr>
        <w:tab/>
      </w:r>
      <w:r w:rsidR="00C93AEE" w:rsidRPr="00C93AEE">
        <w:rPr>
          <w:rFonts w:ascii="Arial" w:hAnsi="Arial" w:cs="Arial"/>
          <w:bCs/>
        </w:rPr>
        <w:t>The draft of the Police and Crime Plan was brought to the Police and Crime Panel in December 2024 for consideration of the priorities and the cross cutting themes and how this will work alongside operational policing in the area to ensure a Safe, Just and Inclusive West Yorkshire.</w:t>
      </w:r>
    </w:p>
    <w:p w14:paraId="750686D7" w14:textId="77777777" w:rsidR="00614656" w:rsidRPr="00BE59A3" w:rsidRDefault="00614656" w:rsidP="00614656">
      <w:pPr>
        <w:pStyle w:val="BodyText"/>
        <w:spacing w:before="7"/>
        <w:rPr>
          <w:rFonts w:ascii="Arial" w:hAnsi="Arial" w:cs="Arial"/>
          <w:bCs/>
          <w:highlight w:val="yellow"/>
        </w:rPr>
      </w:pPr>
    </w:p>
    <w:p w14:paraId="166FEF74" w14:textId="6C1644FB" w:rsidR="00614656" w:rsidRPr="00C93AEE" w:rsidRDefault="00C93AEE" w:rsidP="00614656">
      <w:pPr>
        <w:pStyle w:val="BodyText"/>
        <w:spacing w:before="7"/>
        <w:rPr>
          <w:rFonts w:ascii="Arial" w:hAnsi="Arial" w:cs="Arial"/>
          <w:b/>
        </w:rPr>
      </w:pPr>
      <w:r>
        <w:rPr>
          <w:rFonts w:ascii="Arial" w:hAnsi="Arial" w:cs="Arial"/>
          <w:bCs/>
        </w:rPr>
        <w:t>15</w:t>
      </w:r>
      <w:r w:rsidR="00614656" w:rsidRPr="00C93AEE">
        <w:rPr>
          <w:rFonts w:ascii="Arial" w:hAnsi="Arial" w:cs="Arial"/>
          <w:bCs/>
        </w:rPr>
        <w:t>.</w:t>
      </w:r>
      <w:r w:rsidR="00614656" w:rsidRPr="00C93AEE">
        <w:rPr>
          <w:rFonts w:ascii="Arial" w:hAnsi="Arial" w:cs="Arial"/>
          <w:bCs/>
        </w:rPr>
        <w:tab/>
      </w:r>
      <w:r w:rsidR="001845E6">
        <w:rPr>
          <w:rFonts w:ascii="Arial" w:hAnsi="Arial" w:cs="Arial"/>
          <w:b/>
        </w:rPr>
        <w:t>The Precept Proposal</w:t>
      </w:r>
    </w:p>
    <w:p w14:paraId="5F41E6AB" w14:textId="77777777" w:rsidR="00614656" w:rsidRPr="00BE59A3" w:rsidRDefault="00614656" w:rsidP="00614656">
      <w:pPr>
        <w:pStyle w:val="BodyText"/>
        <w:spacing w:before="7"/>
        <w:rPr>
          <w:rFonts w:ascii="Arial" w:hAnsi="Arial" w:cs="Arial"/>
          <w:bCs/>
          <w:highlight w:val="yellow"/>
        </w:rPr>
      </w:pPr>
    </w:p>
    <w:p w14:paraId="7E3B0A6E" w14:textId="52EE1348" w:rsidR="00614656" w:rsidRPr="001845E6" w:rsidRDefault="001845E6" w:rsidP="001845E6">
      <w:pPr>
        <w:pStyle w:val="BodyText"/>
        <w:spacing w:before="7"/>
        <w:ind w:left="720" w:hanging="720"/>
        <w:rPr>
          <w:rFonts w:ascii="Arial" w:hAnsi="Arial" w:cs="Arial"/>
          <w:bCs/>
        </w:rPr>
      </w:pPr>
      <w:r w:rsidRPr="001845E6">
        <w:rPr>
          <w:rFonts w:ascii="Arial" w:hAnsi="Arial" w:cs="Arial"/>
          <w:bCs/>
        </w:rPr>
        <w:t xml:space="preserve">15.1 </w:t>
      </w:r>
      <w:r w:rsidRPr="001845E6">
        <w:rPr>
          <w:rFonts w:ascii="Arial" w:hAnsi="Arial" w:cs="Arial"/>
          <w:bCs/>
        </w:rPr>
        <w:tab/>
        <w:t>The Mayor has recently undertaken a Precept Consultation to gain views from members of the public around policing. The survey results provide a clear indication on the part of the majority of respondents that they support the Mayor in raising the Band D equivalent of the policing element of Council Tax by £14 (27p per week) to provide vital investment into West Yorkshire Police.</w:t>
      </w:r>
    </w:p>
    <w:p w14:paraId="3A0C15C6" w14:textId="77777777" w:rsidR="00614656" w:rsidRPr="00BE59A3" w:rsidRDefault="00614656" w:rsidP="00614656">
      <w:pPr>
        <w:pStyle w:val="BodyText"/>
        <w:spacing w:before="7"/>
        <w:rPr>
          <w:rFonts w:ascii="Arial" w:hAnsi="Arial" w:cs="Arial"/>
          <w:bCs/>
          <w:highlight w:val="yellow"/>
        </w:rPr>
      </w:pPr>
    </w:p>
    <w:p w14:paraId="7CAC117C" w14:textId="51CA8771" w:rsidR="00614656" w:rsidRDefault="001845E6" w:rsidP="00614656">
      <w:pPr>
        <w:pStyle w:val="BodyText"/>
        <w:spacing w:before="7"/>
        <w:rPr>
          <w:rFonts w:ascii="Arial" w:hAnsi="Arial" w:cs="Arial"/>
          <w:bCs/>
        </w:rPr>
      </w:pPr>
      <w:r w:rsidRPr="000B2104">
        <w:rPr>
          <w:rFonts w:ascii="Arial" w:hAnsi="Arial" w:cs="Arial"/>
          <w:bCs/>
        </w:rPr>
        <w:t>15</w:t>
      </w:r>
      <w:r w:rsidR="00614656" w:rsidRPr="000B2104">
        <w:rPr>
          <w:rFonts w:ascii="Arial" w:hAnsi="Arial" w:cs="Arial"/>
          <w:bCs/>
        </w:rPr>
        <w:t>.</w:t>
      </w:r>
      <w:r w:rsidRPr="000B2104">
        <w:rPr>
          <w:rFonts w:ascii="Arial" w:hAnsi="Arial" w:cs="Arial"/>
          <w:bCs/>
        </w:rPr>
        <w:t>2</w:t>
      </w:r>
      <w:r w:rsidR="00614656" w:rsidRPr="000B2104">
        <w:rPr>
          <w:rFonts w:ascii="Arial" w:hAnsi="Arial" w:cs="Arial"/>
          <w:bCs/>
        </w:rPr>
        <w:tab/>
        <w:t>The results are summarised by band below:</w:t>
      </w:r>
    </w:p>
    <w:p w14:paraId="74CBFE54" w14:textId="77777777" w:rsidR="00A22A0B" w:rsidRDefault="00A22A0B" w:rsidP="00614656">
      <w:pPr>
        <w:pStyle w:val="BodyText"/>
        <w:spacing w:before="7"/>
        <w:rPr>
          <w:rFonts w:ascii="Arial" w:hAnsi="Arial" w:cs="Arial"/>
          <w:bCs/>
        </w:rPr>
      </w:pPr>
    </w:p>
    <w:p w14:paraId="756EFBD2" w14:textId="72E05B40" w:rsidR="00A22A0B" w:rsidRDefault="00A22A0B" w:rsidP="00614656">
      <w:pPr>
        <w:pStyle w:val="BodyText"/>
        <w:spacing w:before="7"/>
        <w:rPr>
          <w:rFonts w:ascii="Arial" w:hAnsi="Arial" w:cs="Arial"/>
          <w:bCs/>
        </w:rPr>
      </w:pPr>
      <w:r w:rsidRPr="00A22A0B">
        <w:rPr>
          <w:noProof/>
        </w:rPr>
        <w:drawing>
          <wp:inline distT="0" distB="0" distL="0" distR="0" wp14:anchorId="783789C8" wp14:editId="7528B638">
            <wp:extent cx="6120130" cy="2496185"/>
            <wp:effectExtent l="0" t="0" r="0" b="0"/>
            <wp:docPr id="1180369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496185"/>
                    </a:xfrm>
                    <a:prstGeom prst="rect">
                      <a:avLst/>
                    </a:prstGeom>
                    <a:noFill/>
                    <a:ln>
                      <a:noFill/>
                    </a:ln>
                  </pic:spPr>
                </pic:pic>
              </a:graphicData>
            </a:graphic>
          </wp:inline>
        </w:drawing>
      </w:r>
    </w:p>
    <w:p w14:paraId="7AA39473" w14:textId="77777777" w:rsidR="00A22A0B" w:rsidRPr="000B2104" w:rsidRDefault="00A22A0B" w:rsidP="00614656">
      <w:pPr>
        <w:pStyle w:val="BodyText"/>
        <w:spacing w:before="7"/>
        <w:rPr>
          <w:rFonts w:ascii="Arial" w:hAnsi="Arial" w:cs="Arial"/>
          <w:bCs/>
        </w:rPr>
      </w:pPr>
    </w:p>
    <w:p w14:paraId="7027C9F7" w14:textId="77777777" w:rsidR="00614656" w:rsidRPr="00BE59A3" w:rsidRDefault="00614656" w:rsidP="00614656">
      <w:pPr>
        <w:pStyle w:val="BodyText"/>
        <w:spacing w:before="7"/>
        <w:rPr>
          <w:rFonts w:ascii="Arial" w:hAnsi="Arial" w:cs="Arial"/>
          <w:bCs/>
          <w:highlight w:val="yellow"/>
        </w:rPr>
      </w:pPr>
    </w:p>
    <w:p w14:paraId="417BF5C0" w14:textId="77777777" w:rsidR="00614656" w:rsidRPr="00BE59A3" w:rsidRDefault="00614656" w:rsidP="00614656">
      <w:pPr>
        <w:pStyle w:val="BodyText"/>
        <w:spacing w:before="7"/>
        <w:rPr>
          <w:rFonts w:ascii="Arial" w:hAnsi="Arial" w:cs="Arial"/>
          <w:bCs/>
          <w:highlight w:val="yellow"/>
        </w:rPr>
      </w:pPr>
    </w:p>
    <w:p w14:paraId="5723F13B" w14:textId="77777777" w:rsidR="00614656" w:rsidRPr="00BE59A3" w:rsidRDefault="00614656" w:rsidP="00614656">
      <w:pPr>
        <w:pStyle w:val="BodyText"/>
        <w:spacing w:before="7"/>
        <w:rPr>
          <w:rFonts w:ascii="Arial" w:hAnsi="Arial" w:cs="Arial"/>
          <w:bCs/>
          <w:highlight w:val="yellow"/>
        </w:rPr>
      </w:pPr>
    </w:p>
    <w:p w14:paraId="18EA459E" w14:textId="61EC9E1D" w:rsidR="00614656" w:rsidRPr="00BE59A3" w:rsidRDefault="001845E6" w:rsidP="00614656">
      <w:pPr>
        <w:pStyle w:val="BodyText"/>
        <w:spacing w:before="7"/>
        <w:ind w:left="720" w:hanging="720"/>
        <w:rPr>
          <w:rFonts w:ascii="Arial" w:hAnsi="Arial" w:cs="Arial"/>
          <w:bCs/>
          <w:highlight w:val="yellow"/>
        </w:rPr>
      </w:pPr>
      <w:r w:rsidRPr="001845E6">
        <w:rPr>
          <w:rFonts w:ascii="Arial" w:hAnsi="Arial" w:cs="Arial"/>
          <w:bCs/>
        </w:rPr>
        <w:t>15.3</w:t>
      </w:r>
      <w:r w:rsidR="00614656" w:rsidRPr="001845E6">
        <w:rPr>
          <w:rFonts w:ascii="Arial" w:hAnsi="Arial" w:cs="Arial"/>
          <w:bCs/>
        </w:rPr>
        <w:tab/>
      </w:r>
      <w:r w:rsidRPr="001845E6">
        <w:rPr>
          <w:rFonts w:ascii="Arial" w:hAnsi="Arial" w:cs="Arial"/>
          <w:bCs/>
        </w:rPr>
        <w:t>A £14 increase would take the Band D police council tax for 2025/26 to £263.28 a year.  Approximately 61% of households in West Yorkshire are in Bands A and B, and would pay £175.52 and £204.77 a year respectively, an increase of approximately 18 pence per week for band A, 21 pence per week for Band B and 27 pence per week for Band D.</w:t>
      </w:r>
    </w:p>
    <w:p w14:paraId="762A7001" w14:textId="6E7D886D" w:rsidR="009625DB" w:rsidRPr="00BE59A3" w:rsidRDefault="009625DB" w:rsidP="00614656">
      <w:pPr>
        <w:ind w:left="720" w:hanging="720"/>
        <w:rPr>
          <w:highlight w:val="yellow"/>
        </w:rPr>
      </w:pPr>
    </w:p>
    <w:bookmarkEnd w:id="1"/>
    <w:bookmarkEnd w:id="2"/>
    <w:p w14:paraId="1255EE86" w14:textId="2FCC4A80" w:rsidR="005364BD" w:rsidRPr="001845E6" w:rsidRDefault="00C20EE0" w:rsidP="005364BD">
      <w:pPr>
        <w:pStyle w:val="BodyText"/>
        <w:spacing w:before="7"/>
        <w:rPr>
          <w:rFonts w:ascii="Arial" w:hAnsi="Arial" w:cs="Arial"/>
          <w:bCs/>
        </w:rPr>
      </w:pPr>
      <w:r w:rsidRPr="00BF4A52">
        <w:rPr>
          <w:rFonts w:ascii="Arial" w:hAnsi="Arial" w:cs="Arial"/>
        </w:rPr>
        <w:t>15.</w:t>
      </w:r>
      <w:r w:rsidR="001845E6" w:rsidRPr="00BF4A52">
        <w:rPr>
          <w:rFonts w:ascii="Arial" w:hAnsi="Arial" w:cs="Arial"/>
        </w:rPr>
        <w:t>4</w:t>
      </w:r>
      <w:r w:rsidRPr="001845E6">
        <w:tab/>
      </w:r>
      <w:r w:rsidR="005364BD" w:rsidRPr="001845E6">
        <w:rPr>
          <w:rFonts w:ascii="Arial" w:hAnsi="Arial" w:cs="Arial"/>
          <w:bCs/>
        </w:rPr>
        <w:t>Relevant considerations for the Mayor in making her decision included:</w:t>
      </w:r>
    </w:p>
    <w:p w14:paraId="05AC5097" w14:textId="77777777" w:rsidR="005364BD" w:rsidRPr="00BE59A3" w:rsidRDefault="005364BD" w:rsidP="005364BD">
      <w:pPr>
        <w:pStyle w:val="BodyText"/>
        <w:spacing w:before="7"/>
        <w:rPr>
          <w:rFonts w:ascii="Arial" w:hAnsi="Arial" w:cs="Arial"/>
          <w:bCs/>
          <w:highlight w:val="yellow"/>
        </w:rPr>
      </w:pPr>
    </w:p>
    <w:p w14:paraId="3E9C7664" w14:textId="77777777" w:rsidR="005364BD" w:rsidRPr="001845E6" w:rsidRDefault="005364BD" w:rsidP="005364BD">
      <w:pPr>
        <w:pStyle w:val="BodyText"/>
        <w:widowControl w:val="0"/>
        <w:numPr>
          <w:ilvl w:val="0"/>
          <w:numId w:val="10"/>
        </w:numPr>
        <w:autoSpaceDE w:val="0"/>
        <w:autoSpaceDN w:val="0"/>
        <w:spacing w:before="7"/>
        <w:ind w:left="1080"/>
        <w:jc w:val="left"/>
        <w:rPr>
          <w:rFonts w:ascii="Arial" w:hAnsi="Arial" w:cs="Arial"/>
          <w:bCs/>
        </w:rPr>
      </w:pPr>
      <w:r w:rsidRPr="001845E6">
        <w:rPr>
          <w:rFonts w:ascii="Arial" w:hAnsi="Arial" w:cs="Arial"/>
          <w:bCs/>
        </w:rPr>
        <w:t>Police and Crime Plan consultation feedback</w:t>
      </w:r>
    </w:p>
    <w:p w14:paraId="1376A363" w14:textId="77777777" w:rsidR="005364BD" w:rsidRPr="001845E6" w:rsidRDefault="005364BD" w:rsidP="005364BD">
      <w:pPr>
        <w:pStyle w:val="BodyText"/>
        <w:widowControl w:val="0"/>
        <w:numPr>
          <w:ilvl w:val="0"/>
          <w:numId w:val="10"/>
        </w:numPr>
        <w:autoSpaceDE w:val="0"/>
        <w:autoSpaceDN w:val="0"/>
        <w:spacing w:before="7"/>
        <w:ind w:left="1080"/>
        <w:jc w:val="left"/>
        <w:rPr>
          <w:rFonts w:ascii="Arial" w:hAnsi="Arial" w:cs="Arial"/>
          <w:bCs/>
        </w:rPr>
      </w:pPr>
      <w:r w:rsidRPr="001845E6">
        <w:rPr>
          <w:rFonts w:ascii="Arial" w:hAnsi="Arial" w:cs="Arial"/>
          <w:bCs/>
        </w:rPr>
        <w:t>Operational resilience</w:t>
      </w:r>
    </w:p>
    <w:p w14:paraId="455E77F3" w14:textId="77777777" w:rsidR="001845E6" w:rsidRPr="001845E6" w:rsidRDefault="001845E6" w:rsidP="001845E6">
      <w:pPr>
        <w:pStyle w:val="ListParagraph"/>
        <w:numPr>
          <w:ilvl w:val="0"/>
          <w:numId w:val="10"/>
        </w:numPr>
        <w:rPr>
          <w:bCs/>
          <w:szCs w:val="20"/>
        </w:rPr>
      </w:pPr>
      <w:r w:rsidRPr="001845E6">
        <w:rPr>
          <w:bCs/>
          <w:szCs w:val="20"/>
        </w:rPr>
        <w:t>Public views obtained from the Budget Survey and focussed engagement.</w:t>
      </w:r>
    </w:p>
    <w:p w14:paraId="06841A21" w14:textId="279D349D" w:rsidR="005364BD" w:rsidRPr="001845E6" w:rsidRDefault="005364BD" w:rsidP="005364BD">
      <w:pPr>
        <w:pStyle w:val="BodyText"/>
        <w:widowControl w:val="0"/>
        <w:numPr>
          <w:ilvl w:val="0"/>
          <w:numId w:val="10"/>
        </w:numPr>
        <w:autoSpaceDE w:val="0"/>
        <w:autoSpaceDN w:val="0"/>
        <w:spacing w:before="7"/>
        <w:ind w:left="1080"/>
        <w:jc w:val="left"/>
        <w:rPr>
          <w:rFonts w:ascii="Arial" w:hAnsi="Arial" w:cs="Arial"/>
          <w:bCs/>
        </w:rPr>
      </w:pPr>
      <w:r w:rsidRPr="001845E6">
        <w:rPr>
          <w:rFonts w:ascii="Arial" w:hAnsi="Arial" w:cs="Arial"/>
          <w:bCs/>
        </w:rPr>
        <w:t xml:space="preserve">The impact on frontline </w:t>
      </w:r>
    </w:p>
    <w:p w14:paraId="14EB2B06" w14:textId="77777777" w:rsidR="005364BD" w:rsidRPr="001845E6" w:rsidRDefault="005364BD" w:rsidP="005364BD">
      <w:pPr>
        <w:pStyle w:val="BodyText"/>
        <w:widowControl w:val="0"/>
        <w:numPr>
          <w:ilvl w:val="0"/>
          <w:numId w:val="10"/>
        </w:numPr>
        <w:autoSpaceDE w:val="0"/>
        <w:autoSpaceDN w:val="0"/>
        <w:spacing w:before="7"/>
        <w:ind w:left="1080"/>
        <w:jc w:val="left"/>
        <w:rPr>
          <w:rFonts w:ascii="Arial" w:hAnsi="Arial" w:cs="Arial"/>
          <w:bCs/>
        </w:rPr>
      </w:pPr>
      <w:r w:rsidRPr="001845E6">
        <w:rPr>
          <w:rFonts w:ascii="Arial" w:hAnsi="Arial" w:cs="Arial"/>
          <w:bCs/>
        </w:rPr>
        <w:t>The significant financial challenges for West Yorkshire Police over the medium term</w:t>
      </w:r>
    </w:p>
    <w:p w14:paraId="1CDE4027" w14:textId="77777777" w:rsidR="005364BD" w:rsidRPr="001845E6" w:rsidRDefault="005364BD" w:rsidP="005364BD">
      <w:pPr>
        <w:pStyle w:val="BodyText"/>
        <w:widowControl w:val="0"/>
        <w:numPr>
          <w:ilvl w:val="0"/>
          <w:numId w:val="9"/>
        </w:numPr>
        <w:autoSpaceDE w:val="0"/>
        <w:autoSpaceDN w:val="0"/>
        <w:spacing w:before="7"/>
        <w:ind w:left="1080"/>
        <w:jc w:val="left"/>
        <w:rPr>
          <w:rFonts w:ascii="Arial" w:hAnsi="Arial" w:cs="Arial"/>
          <w:bCs/>
        </w:rPr>
      </w:pPr>
      <w:r w:rsidRPr="001845E6">
        <w:rPr>
          <w:rFonts w:ascii="Arial" w:hAnsi="Arial" w:cs="Arial"/>
          <w:bCs/>
        </w:rPr>
        <w:t>The impact on council taxpayers</w:t>
      </w:r>
    </w:p>
    <w:p w14:paraId="154FC9C6" w14:textId="77777777" w:rsidR="005364BD" w:rsidRDefault="005364BD" w:rsidP="005364BD">
      <w:pPr>
        <w:pStyle w:val="BodyText"/>
        <w:widowControl w:val="0"/>
        <w:numPr>
          <w:ilvl w:val="0"/>
          <w:numId w:val="9"/>
        </w:numPr>
        <w:autoSpaceDE w:val="0"/>
        <w:autoSpaceDN w:val="0"/>
        <w:spacing w:before="7"/>
        <w:ind w:left="1080"/>
        <w:jc w:val="left"/>
        <w:rPr>
          <w:rFonts w:ascii="Arial" w:hAnsi="Arial" w:cs="Arial"/>
          <w:bCs/>
        </w:rPr>
      </w:pPr>
      <w:r w:rsidRPr="001845E6">
        <w:rPr>
          <w:rFonts w:ascii="Arial" w:hAnsi="Arial" w:cs="Arial"/>
          <w:bCs/>
        </w:rPr>
        <w:t>Future financial health, including the adequacy and utilisation of reserves and balances</w:t>
      </w:r>
    </w:p>
    <w:p w14:paraId="3F4462F7" w14:textId="77777777" w:rsidR="004210CE" w:rsidRPr="004210CE" w:rsidRDefault="004210CE" w:rsidP="004210CE">
      <w:pPr>
        <w:pStyle w:val="ListParagraph"/>
        <w:numPr>
          <w:ilvl w:val="0"/>
          <w:numId w:val="9"/>
        </w:numPr>
        <w:rPr>
          <w:bCs/>
          <w:szCs w:val="20"/>
        </w:rPr>
      </w:pPr>
      <w:r w:rsidRPr="004210CE">
        <w:rPr>
          <w:bCs/>
          <w:szCs w:val="20"/>
        </w:rPr>
        <w:t xml:space="preserve">The robustness of financial and organisational management processes in place </w:t>
      </w:r>
    </w:p>
    <w:p w14:paraId="7474CF7B" w14:textId="77777777" w:rsidR="004210CE" w:rsidRPr="004210CE" w:rsidRDefault="004210CE" w:rsidP="004210CE">
      <w:pPr>
        <w:pStyle w:val="ListParagraph"/>
        <w:numPr>
          <w:ilvl w:val="0"/>
          <w:numId w:val="9"/>
        </w:numPr>
        <w:rPr>
          <w:bCs/>
          <w:szCs w:val="20"/>
        </w:rPr>
      </w:pPr>
      <w:r w:rsidRPr="004210CE">
        <w:rPr>
          <w:bCs/>
          <w:szCs w:val="20"/>
        </w:rPr>
        <w:t xml:space="preserve">Savings made to date and the capacity for future savings. </w:t>
      </w:r>
    </w:p>
    <w:p w14:paraId="0B707B83" w14:textId="77777777" w:rsidR="004210CE" w:rsidRPr="004210CE" w:rsidRDefault="004210CE" w:rsidP="004210CE">
      <w:pPr>
        <w:pStyle w:val="BodyText"/>
        <w:widowControl w:val="0"/>
        <w:numPr>
          <w:ilvl w:val="0"/>
          <w:numId w:val="9"/>
        </w:numPr>
        <w:autoSpaceDE w:val="0"/>
        <w:autoSpaceDN w:val="0"/>
        <w:spacing w:before="7"/>
        <w:rPr>
          <w:rFonts w:ascii="Arial" w:hAnsi="Arial" w:cs="Arial"/>
          <w:bCs/>
        </w:rPr>
      </w:pPr>
      <w:r w:rsidRPr="004210CE">
        <w:rPr>
          <w:rFonts w:ascii="Arial" w:hAnsi="Arial" w:cs="Arial"/>
          <w:bCs/>
        </w:rPr>
        <w:t>The uncertainty of change to the police funding formula review which accounts for around 69.4% of the West Yorkshire budget.</w:t>
      </w:r>
    </w:p>
    <w:p w14:paraId="6EF22018" w14:textId="77777777" w:rsidR="005364BD" w:rsidRPr="00BE59A3" w:rsidRDefault="005364BD" w:rsidP="005364BD">
      <w:pPr>
        <w:pStyle w:val="BodyText"/>
        <w:spacing w:before="7"/>
        <w:rPr>
          <w:rFonts w:ascii="Arial" w:hAnsi="Arial" w:cs="Arial"/>
          <w:bCs/>
          <w:highlight w:val="yellow"/>
        </w:rPr>
      </w:pPr>
    </w:p>
    <w:p w14:paraId="4F38B6DE" w14:textId="0D38759A" w:rsidR="00526FA1" w:rsidRDefault="005364BD" w:rsidP="001845E6">
      <w:pPr>
        <w:pStyle w:val="BodyText"/>
        <w:spacing w:before="7"/>
        <w:ind w:left="720" w:hanging="720"/>
        <w:rPr>
          <w:rFonts w:ascii="Arial" w:hAnsi="Arial" w:cs="Arial"/>
          <w:bCs/>
        </w:rPr>
      </w:pPr>
      <w:r w:rsidRPr="001845E6">
        <w:rPr>
          <w:rFonts w:ascii="Arial" w:hAnsi="Arial" w:cs="Arial"/>
          <w:bCs/>
        </w:rPr>
        <w:t>15.</w:t>
      </w:r>
      <w:r w:rsidR="001845E6" w:rsidRPr="001845E6">
        <w:rPr>
          <w:rFonts w:ascii="Arial" w:hAnsi="Arial" w:cs="Arial"/>
          <w:bCs/>
        </w:rPr>
        <w:t>5</w:t>
      </w:r>
      <w:r w:rsidRPr="001845E6">
        <w:rPr>
          <w:rFonts w:ascii="Arial" w:hAnsi="Arial" w:cs="Arial"/>
          <w:bCs/>
        </w:rPr>
        <w:tab/>
      </w:r>
      <w:r w:rsidR="001845E6" w:rsidRPr="001845E6">
        <w:rPr>
          <w:rFonts w:ascii="Arial" w:hAnsi="Arial" w:cs="Arial"/>
          <w:bCs/>
        </w:rPr>
        <w:t xml:space="preserve">The Mayor was conscious of the current level of the police council tax, which is the fourth lowest in England and Wales, the current difficult economic climate facing the public, and the longer-term requirement to make significant additional savings in the budget.  </w:t>
      </w:r>
    </w:p>
    <w:p w14:paraId="357F5A6A" w14:textId="77777777" w:rsidR="001845E6" w:rsidRPr="00254116" w:rsidRDefault="001845E6" w:rsidP="001845E6">
      <w:pPr>
        <w:pStyle w:val="BodyText"/>
        <w:spacing w:before="7"/>
        <w:ind w:left="720" w:hanging="720"/>
        <w:rPr>
          <w:highlight w:val="yellow"/>
        </w:rPr>
      </w:pPr>
    </w:p>
    <w:p w14:paraId="1970D4F1" w14:textId="7186928F" w:rsidR="005364BD" w:rsidRPr="00BC04EC" w:rsidRDefault="005364BD" w:rsidP="005364BD">
      <w:pPr>
        <w:pStyle w:val="BodyText"/>
        <w:spacing w:before="7"/>
        <w:ind w:left="720" w:hanging="720"/>
        <w:rPr>
          <w:rFonts w:ascii="Arial" w:hAnsi="Arial" w:cs="Arial"/>
          <w:bCs/>
        </w:rPr>
      </w:pPr>
      <w:r>
        <w:rPr>
          <w:rFonts w:ascii="Arial" w:hAnsi="Arial" w:cs="Arial"/>
          <w:bCs/>
        </w:rPr>
        <w:t>15</w:t>
      </w:r>
      <w:r w:rsidRPr="00BC04EC">
        <w:rPr>
          <w:rFonts w:ascii="Arial" w:hAnsi="Arial" w:cs="Arial"/>
          <w:bCs/>
        </w:rPr>
        <w:t>.</w:t>
      </w:r>
      <w:r w:rsidR="001845E6">
        <w:rPr>
          <w:rFonts w:ascii="Arial" w:hAnsi="Arial" w:cs="Arial"/>
          <w:bCs/>
        </w:rPr>
        <w:t>6</w:t>
      </w:r>
      <w:r w:rsidRPr="00BC04EC">
        <w:rPr>
          <w:rFonts w:ascii="Arial" w:hAnsi="Arial" w:cs="Arial"/>
          <w:bCs/>
        </w:rPr>
        <w:tab/>
        <w:t>The Mayor has therefore decided to support the £1</w:t>
      </w:r>
      <w:r w:rsidR="00E45F84">
        <w:rPr>
          <w:rFonts w:ascii="Arial" w:hAnsi="Arial" w:cs="Arial"/>
          <w:bCs/>
        </w:rPr>
        <w:t>4</w:t>
      </w:r>
      <w:r w:rsidRPr="00BC04EC">
        <w:rPr>
          <w:rFonts w:ascii="Arial" w:hAnsi="Arial" w:cs="Arial"/>
          <w:bCs/>
        </w:rPr>
        <w:t xml:space="preserve"> on the Band D, and the MTFF and summary movement statement from 202</w:t>
      </w:r>
      <w:r w:rsidR="00E45F84">
        <w:rPr>
          <w:rFonts w:ascii="Arial" w:hAnsi="Arial" w:cs="Arial"/>
          <w:bCs/>
        </w:rPr>
        <w:t>4/25</w:t>
      </w:r>
      <w:r w:rsidRPr="00BC04EC">
        <w:rPr>
          <w:rFonts w:ascii="Arial" w:hAnsi="Arial" w:cs="Arial"/>
          <w:bCs/>
        </w:rPr>
        <w:t xml:space="preserve"> to 202</w:t>
      </w:r>
      <w:r w:rsidR="00E45F84">
        <w:rPr>
          <w:rFonts w:ascii="Arial" w:hAnsi="Arial" w:cs="Arial"/>
          <w:bCs/>
        </w:rPr>
        <w:t>5/26</w:t>
      </w:r>
      <w:r w:rsidRPr="00BC04EC">
        <w:rPr>
          <w:rFonts w:ascii="Arial" w:hAnsi="Arial" w:cs="Arial"/>
          <w:bCs/>
        </w:rPr>
        <w:t xml:space="preserve"> are attached at </w:t>
      </w:r>
      <w:r w:rsidRPr="0004102D">
        <w:rPr>
          <w:rFonts w:ascii="Arial" w:hAnsi="Arial" w:cs="Arial"/>
          <w:b/>
          <w:bCs/>
        </w:rPr>
        <w:t xml:space="preserve">Appendices </w:t>
      </w:r>
      <w:r w:rsidR="0004102D" w:rsidRPr="0004102D">
        <w:rPr>
          <w:rFonts w:ascii="Arial" w:hAnsi="Arial" w:cs="Arial"/>
          <w:b/>
          <w:bCs/>
        </w:rPr>
        <w:t>F</w:t>
      </w:r>
      <w:r w:rsidRPr="0004102D">
        <w:rPr>
          <w:rFonts w:ascii="Arial" w:hAnsi="Arial" w:cs="Arial"/>
          <w:b/>
          <w:bCs/>
        </w:rPr>
        <w:t xml:space="preserve"> and </w:t>
      </w:r>
      <w:r w:rsidR="008C2758">
        <w:rPr>
          <w:rFonts w:ascii="Arial" w:hAnsi="Arial" w:cs="Arial"/>
          <w:b/>
          <w:bCs/>
        </w:rPr>
        <w:t>C</w:t>
      </w:r>
      <w:r w:rsidRPr="0004102D">
        <w:rPr>
          <w:rFonts w:ascii="Arial" w:hAnsi="Arial" w:cs="Arial"/>
          <w:bCs/>
        </w:rPr>
        <w:t>.</w:t>
      </w:r>
      <w:r w:rsidRPr="00BC04EC">
        <w:rPr>
          <w:rFonts w:ascii="Arial" w:hAnsi="Arial" w:cs="Arial"/>
          <w:bCs/>
        </w:rPr>
        <w:t xml:space="preserve">  </w:t>
      </w:r>
    </w:p>
    <w:p w14:paraId="18A5EB35" w14:textId="77777777" w:rsidR="005364BD" w:rsidRPr="00BC04EC" w:rsidRDefault="005364BD" w:rsidP="005364BD">
      <w:pPr>
        <w:pStyle w:val="BodyText"/>
        <w:spacing w:before="7"/>
        <w:rPr>
          <w:rFonts w:ascii="Arial" w:hAnsi="Arial" w:cs="Arial"/>
          <w:bCs/>
        </w:rPr>
      </w:pPr>
    </w:p>
    <w:p w14:paraId="303D18F0" w14:textId="62572FCA" w:rsidR="005364BD" w:rsidRPr="00BC04EC" w:rsidRDefault="005364BD" w:rsidP="005364BD">
      <w:pPr>
        <w:pStyle w:val="BodyText"/>
        <w:spacing w:before="7"/>
        <w:ind w:left="720" w:hanging="720"/>
        <w:rPr>
          <w:rFonts w:ascii="Arial" w:hAnsi="Arial" w:cs="Arial"/>
          <w:bCs/>
        </w:rPr>
      </w:pPr>
      <w:r>
        <w:rPr>
          <w:rFonts w:ascii="Arial" w:hAnsi="Arial" w:cs="Arial"/>
          <w:bCs/>
        </w:rPr>
        <w:t>15</w:t>
      </w:r>
      <w:r w:rsidRPr="00BC04EC">
        <w:rPr>
          <w:rFonts w:ascii="Arial" w:hAnsi="Arial" w:cs="Arial"/>
          <w:bCs/>
        </w:rPr>
        <w:t>.</w:t>
      </w:r>
      <w:r w:rsidR="00E45F84">
        <w:rPr>
          <w:rFonts w:ascii="Arial" w:hAnsi="Arial" w:cs="Arial"/>
          <w:bCs/>
        </w:rPr>
        <w:t>4</w:t>
      </w:r>
      <w:r w:rsidRPr="00BC04EC">
        <w:rPr>
          <w:rFonts w:ascii="Arial" w:hAnsi="Arial" w:cs="Arial"/>
          <w:bCs/>
        </w:rPr>
        <w:tab/>
        <w:t>The Mayor notifie</w:t>
      </w:r>
      <w:r>
        <w:rPr>
          <w:rFonts w:ascii="Arial" w:hAnsi="Arial" w:cs="Arial"/>
          <w:bCs/>
        </w:rPr>
        <w:t>d</w:t>
      </w:r>
      <w:r w:rsidRPr="00BC04EC">
        <w:rPr>
          <w:rFonts w:ascii="Arial" w:hAnsi="Arial" w:cs="Arial"/>
          <w:bCs/>
        </w:rPr>
        <w:t xml:space="preserve"> the Panel of her intention to increase the police precept by £1</w:t>
      </w:r>
      <w:r w:rsidR="00E45F84">
        <w:rPr>
          <w:rFonts w:ascii="Arial" w:hAnsi="Arial" w:cs="Arial"/>
          <w:bCs/>
        </w:rPr>
        <w:t>4</w:t>
      </w:r>
      <w:r w:rsidRPr="00BC04EC">
        <w:rPr>
          <w:rFonts w:ascii="Arial" w:hAnsi="Arial" w:cs="Arial"/>
          <w:bCs/>
        </w:rPr>
        <w:t xml:space="preserve"> on Band D. </w:t>
      </w:r>
    </w:p>
    <w:p w14:paraId="32F26A02" w14:textId="77777777" w:rsidR="005364BD" w:rsidRPr="00BC04EC" w:rsidRDefault="005364BD" w:rsidP="005364BD">
      <w:pPr>
        <w:pStyle w:val="BodyText"/>
        <w:spacing w:before="7"/>
        <w:rPr>
          <w:rFonts w:ascii="Arial" w:hAnsi="Arial" w:cs="Arial"/>
          <w:bCs/>
        </w:rPr>
      </w:pPr>
    </w:p>
    <w:p w14:paraId="18D998C2" w14:textId="159B4233" w:rsidR="005364BD" w:rsidRPr="00BC04EC" w:rsidRDefault="005364BD" w:rsidP="005364BD">
      <w:pPr>
        <w:pStyle w:val="BodyText"/>
        <w:spacing w:before="7"/>
        <w:ind w:left="720" w:hanging="720"/>
        <w:rPr>
          <w:rFonts w:ascii="Arial" w:hAnsi="Arial" w:cs="Arial"/>
          <w:bCs/>
        </w:rPr>
      </w:pPr>
      <w:r>
        <w:rPr>
          <w:rFonts w:ascii="Arial" w:hAnsi="Arial" w:cs="Arial"/>
          <w:bCs/>
        </w:rPr>
        <w:t>15</w:t>
      </w:r>
      <w:r w:rsidRPr="00BC04EC">
        <w:rPr>
          <w:rFonts w:ascii="Arial" w:hAnsi="Arial" w:cs="Arial"/>
          <w:bCs/>
        </w:rPr>
        <w:t>.</w:t>
      </w:r>
      <w:r w:rsidR="00E45F84">
        <w:rPr>
          <w:rFonts w:ascii="Arial" w:hAnsi="Arial" w:cs="Arial"/>
          <w:bCs/>
        </w:rPr>
        <w:t>5</w:t>
      </w:r>
      <w:r w:rsidRPr="00BC04EC">
        <w:rPr>
          <w:rFonts w:ascii="Arial" w:hAnsi="Arial" w:cs="Arial"/>
          <w:bCs/>
        </w:rPr>
        <w:tab/>
        <w:t xml:space="preserve">The Mayor’s proposal </w:t>
      </w:r>
      <w:r>
        <w:rPr>
          <w:rFonts w:ascii="Arial" w:hAnsi="Arial" w:cs="Arial"/>
          <w:bCs/>
        </w:rPr>
        <w:t xml:space="preserve">results </w:t>
      </w:r>
      <w:r w:rsidRPr="00BC04EC">
        <w:rPr>
          <w:rFonts w:ascii="Arial" w:hAnsi="Arial" w:cs="Arial"/>
          <w:bCs/>
        </w:rPr>
        <w:t>in a budget of £</w:t>
      </w:r>
      <w:r w:rsidR="007B508B">
        <w:rPr>
          <w:rFonts w:ascii="Arial" w:hAnsi="Arial" w:cs="Arial"/>
          <w:bCs/>
        </w:rPr>
        <w:t>621.</w:t>
      </w:r>
      <w:r w:rsidR="006C0C7F">
        <w:rPr>
          <w:rFonts w:ascii="Arial" w:hAnsi="Arial" w:cs="Arial"/>
          <w:bCs/>
        </w:rPr>
        <w:t>414</w:t>
      </w:r>
      <w:r w:rsidRPr="00BC04EC">
        <w:rPr>
          <w:rFonts w:ascii="Arial" w:hAnsi="Arial" w:cs="Arial"/>
          <w:bCs/>
        </w:rPr>
        <w:t xml:space="preserve">m. </w:t>
      </w:r>
    </w:p>
    <w:p w14:paraId="039D7A47" w14:textId="77777777" w:rsidR="00526FA1" w:rsidRPr="00FD6515" w:rsidRDefault="00526FA1" w:rsidP="005E267B">
      <w:pPr>
        <w:ind w:left="720" w:hanging="720"/>
      </w:pPr>
    </w:p>
    <w:p w14:paraId="4B68B1BC" w14:textId="66BB6AA5" w:rsidR="00EF556C" w:rsidRPr="002E1213" w:rsidRDefault="002F51B5" w:rsidP="00526FA1">
      <w:pPr>
        <w:ind w:left="720" w:hanging="720"/>
        <w:rPr>
          <w:b/>
        </w:rPr>
      </w:pPr>
      <w:r w:rsidRPr="002E1213">
        <w:rPr>
          <w:b/>
        </w:rPr>
        <w:t>1</w:t>
      </w:r>
      <w:r w:rsidR="001845E6">
        <w:rPr>
          <w:b/>
        </w:rPr>
        <w:t>6</w:t>
      </w:r>
      <w:r w:rsidR="00D1256A" w:rsidRPr="002E1213">
        <w:rPr>
          <w:b/>
        </w:rPr>
        <w:t>.</w:t>
      </w:r>
      <w:r w:rsidRPr="002E1213">
        <w:rPr>
          <w:b/>
        </w:rPr>
        <w:tab/>
      </w:r>
      <w:r w:rsidR="00EF556C" w:rsidRPr="002E1213">
        <w:rPr>
          <w:b/>
        </w:rPr>
        <w:t>ROBUSTNESS OF THE ESTIMATES AND ADEQUACY OF RESERVES</w:t>
      </w:r>
    </w:p>
    <w:p w14:paraId="0A775F21" w14:textId="77777777" w:rsidR="00EF556C" w:rsidRPr="002E1213" w:rsidRDefault="00EF556C" w:rsidP="00887E34">
      <w:pPr>
        <w:pStyle w:val="BodyText"/>
        <w:jc w:val="left"/>
        <w:rPr>
          <w:rFonts w:ascii="Arial" w:hAnsi="Arial"/>
        </w:rPr>
      </w:pPr>
    </w:p>
    <w:p w14:paraId="208922B2" w14:textId="29673BAE" w:rsidR="00EF556C" w:rsidRPr="002E1213" w:rsidRDefault="002F51B5" w:rsidP="00887E34">
      <w:pPr>
        <w:pStyle w:val="BodyText"/>
        <w:ind w:left="720" w:hanging="720"/>
        <w:jc w:val="left"/>
        <w:rPr>
          <w:rFonts w:ascii="Arial" w:hAnsi="Arial"/>
        </w:rPr>
      </w:pPr>
      <w:r w:rsidRPr="002E1213">
        <w:rPr>
          <w:rFonts w:ascii="Arial" w:hAnsi="Arial"/>
        </w:rPr>
        <w:t>1</w:t>
      </w:r>
      <w:r w:rsidR="001845E6">
        <w:rPr>
          <w:rFonts w:ascii="Arial" w:hAnsi="Arial"/>
        </w:rPr>
        <w:t>6</w:t>
      </w:r>
      <w:r w:rsidR="00DB5C35" w:rsidRPr="002E1213">
        <w:rPr>
          <w:rFonts w:ascii="Arial" w:hAnsi="Arial"/>
        </w:rPr>
        <w:t>.</w:t>
      </w:r>
      <w:r w:rsidRPr="002E1213">
        <w:rPr>
          <w:rFonts w:ascii="Arial" w:hAnsi="Arial"/>
        </w:rPr>
        <w:t>1</w:t>
      </w:r>
      <w:r w:rsidR="00DB5C35" w:rsidRPr="002E1213">
        <w:rPr>
          <w:rFonts w:ascii="Arial" w:hAnsi="Arial"/>
        </w:rPr>
        <w:tab/>
      </w:r>
      <w:r w:rsidR="00EF556C" w:rsidRPr="002E1213">
        <w:rPr>
          <w:rFonts w:ascii="Arial" w:hAnsi="Arial"/>
        </w:rPr>
        <w:t xml:space="preserve">Section 25 of the Local Government Act 2003 requires that a report be made by the Responsible Financial Officer to the </w:t>
      </w:r>
      <w:r w:rsidR="005364BD">
        <w:rPr>
          <w:rFonts w:ascii="Arial" w:hAnsi="Arial"/>
        </w:rPr>
        <w:t>Chief Finance Officer</w:t>
      </w:r>
      <w:r w:rsidR="002D4F3E" w:rsidRPr="002E1213">
        <w:rPr>
          <w:rFonts w:ascii="Arial" w:hAnsi="Arial"/>
        </w:rPr>
        <w:t xml:space="preserve"> when </w:t>
      </w:r>
      <w:r w:rsidR="006C0C7F">
        <w:rPr>
          <w:rFonts w:ascii="Arial" w:hAnsi="Arial"/>
        </w:rPr>
        <w:t>he</w:t>
      </w:r>
      <w:r w:rsidR="002D4F3E" w:rsidRPr="002E1213">
        <w:rPr>
          <w:rFonts w:ascii="Arial" w:hAnsi="Arial"/>
        </w:rPr>
        <w:t xml:space="preserve"> is considering h</w:t>
      </w:r>
      <w:r w:rsidR="006C0C7F">
        <w:rPr>
          <w:rFonts w:ascii="Arial" w:hAnsi="Arial"/>
        </w:rPr>
        <w:t>is</w:t>
      </w:r>
      <w:r w:rsidR="00EF556C" w:rsidRPr="002E1213">
        <w:rPr>
          <w:rFonts w:ascii="Arial" w:hAnsi="Arial"/>
        </w:rPr>
        <w:t xml:space="preserve"> budget and council tax.  The report must deal with the robustness of estimates and the adequacy of reserves allowed for in the proposals.</w:t>
      </w:r>
    </w:p>
    <w:p w14:paraId="4804D8DC" w14:textId="77777777" w:rsidR="00EF556C" w:rsidRPr="002E1213" w:rsidRDefault="00EF556C" w:rsidP="00887E34">
      <w:pPr>
        <w:pStyle w:val="BodyText"/>
        <w:ind w:left="720" w:hanging="720"/>
        <w:jc w:val="left"/>
        <w:rPr>
          <w:rFonts w:ascii="Arial" w:hAnsi="Arial"/>
        </w:rPr>
      </w:pPr>
    </w:p>
    <w:p w14:paraId="7D0053B9" w14:textId="6D6F2623" w:rsidR="00EF556C" w:rsidRPr="002E1213" w:rsidRDefault="002F51B5" w:rsidP="00887E34">
      <w:pPr>
        <w:pStyle w:val="BodyText"/>
        <w:ind w:left="720" w:hanging="720"/>
        <w:jc w:val="left"/>
        <w:rPr>
          <w:rFonts w:ascii="Arial" w:hAnsi="Arial"/>
        </w:rPr>
      </w:pPr>
      <w:r w:rsidRPr="002E1213">
        <w:rPr>
          <w:rFonts w:ascii="Arial" w:hAnsi="Arial"/>
        </w:rPr>
        <w:t>1</w:t>
      </w:r>
      <w:r w:rsidR="00BF4A52">
        <w:rPr>
          <w:rFonts w:ascii="Arial" w:hAnsi="Arial"/>
        </w:rPr>
        <w:t>6</w:t>
      </w:r>
      <w:r w:rsidRPr="002E1213">
        <w:rPr>
          <w:rFonts w:ascii="Arial" w:hAnsi="Arial"/>
        </w:rPr>
        <w:t>.2</w:t>
      </w:r>
      <w:r w:rsidRPr="002E1213">
        <w:rPr>
          <w:rFonts w:ascii="Arial" w:hAnsi="Arial"/>
        </w:rPr>
        <w:tab/>
      </w:r>
      <w:r w:rsidR="00EF556C" w:rsidRPr="002E1213">
        <w:rPr>
          <w:rFonts w:ascii="Arial" w:hAnsi="Arial"/>
        </w:rPr>
        <w:t>As the council tax is set before the year begins and may not be increas</w:t>
      </w:r>
      <w:r w:rsidR="002D4F3E" w:rsidRPr="002E1213">
        <w:rPr>
          <w:rFonts w:ascii="Arial" w:hAnsi="Arial"/>
        </w:rPr>
        <w:t xml:space="preserve">ed during the year the </w:t>
      </w:r>
      <w:r w:rsidR="005364BD">
        <w:rPr>
          <w:rFonts w:ascii="Arial" w:hAnsi="Arial"/>
        </w:rPr>
        <w:t>Mayor</w:t>
      </w:r>
      <w:r w:rsidR="00EF556C" w:rsidRPr="002E1213">
        <w:rPr>
          <w:rFonts w:ascii="Arial" w:hAnsi="Arial"/>
        </w:rPr>
        <w:t xml:space="preserve"> must consider risks and uncertainties which might result in spending more than planned.  These risks and uncertainties include</w:t>
      </w:r>
    </w:p>
    <w:p w14:paraId="1098DE51" w14:textId="77777777" w:rsidR="00EF556C" w:rsidRPr="002E1213" w:rsidRDefault="00EF556C" w:rsidP="00887E34">
      <w:pPr>
        <w:pStyle w:val="BodyText"/>
        <w:ind w:left="720" w:hanging="720"/>
        <w:jc w:val="left"/>
        <w:rPr>
          <w:rFonts w:ascii="Arial" w:hAnsi="Arial"/>
        </w:rPr>
      </w:pPr>
    </w:p>
    <w:p w14:paraId="53957183" w14:textId="77777777" w:rsidR="00EF556C" w:rsidRPr="002E1213" w:rsidRDefault="00EF556C" w:rsidP="00700C11">
      <w:pPr>
        <w:pStyle w:val="BodyText"/>
        <w:numPr>
          <w:ilvl w:val="0"/>
          <w:numId w:val="8"/>
        </w:numPr>
        <w:jc w:val="left"/>
        <w:rPr>
          <w:rFonts w:ascii="Arial" w:hAnsi="Arial"/>
        </w:rPr>
      </w:pPr>
      <w:r w:rsidRPr="002E1213">
        <w:rPr>
          <w:rFonts w:ascii="Arial" w:hAnsi="Arial"/>
        </w:rPr>
        <w:t>The delivery of the significant level of savings identified to balance the budget.</w:t>
      </w:r>
    </w:p>
    <w:p w14:paraId="27308F40" w14:textId="77777777" w:rsidR="00EF556C" w:rsidRPr="002E1213" w:rsidRDefault="00EF556C" w:rsidP="00700C11">
      <w:pPr>
        <w:pStyle w:val="BodyText"/>
        <w:numPr>
          <w:ilvl w:val="0"/>
          <w:numId w:val="8"/>
        </w:numPr>
        <w:jc w:val="left"/>
        <w:rPr>
          <w:rFonts w:ascii="Arial" w:hAnsi="Arial"/>
        </w:rPr>
      </w:pPr>
      <w:r w:rsidRPr="002E1213">
        <w:rPr>
          <w:rFonts w:ascii="Arial" w:hAnsi="Arial"/>
        </w:rPr>
        <w:lastRenderedPageBreak/>
        <w:t>The global economic climate and in particular, levels of inflation, interest rates for borrowing and investment, security of investments, availability and viability of competitive suppliers and so on.</w:t>
      </w:r>
    </w:p>
    <w:p w14:paraId="0CF449DE" w14:textId="77777777" w:rsidR="00EF556C" w:rsidRPr="002E1213" w:rsidRDefault="00EF556C" w:rsidP="00700C11">
      <w:pPr>
        <w:pStyle w:val="BodyText"/>
        <w:numPr>
          <w:ilvl w:val="0"/>
          <w:numId w:val="8"/>
        </w:numPr>
        <w:jc w:val="left"/>
        <w:rPr>
          <w:rFonts w:ascii="Arial" w:hAnsi="Arial"/>
        </w:rPr>
      </w:pPr>
      <w:r w:rsidRPr="002E1213">
        <w:rPr>
          <w:rFonts w:ascii="Arial" w:hAnsi="Arial"/>
        </w:rPr>
        <w:t>A high degree of uncertainty surrounding future funding assumptions</w:t>
      </w:r>
    </w:p>
    <w:p w14:paraId="4B805833" w14:textId="77777777" w:rsidR="00EF556C" w:rsidRPr="002E1213" w:rsidRDefault="00EF556C" w:rsidP="00700C11">
      <w:pPr>
        <w:pStyle w:val="BodyText"/>
        <w:numPr>
          <w:ilvl w:val="0"/>
          <w:numId w:val="8"/>
        </w:numPr>
        <w:jc w:val="left"/>
        <w:rPr>
          <w:rFonts w:ascii="Arial" w:hAnsi="Arial"/>
        </w:rPr>
      </w:pPr>
      <w:r w:rsidRPr="002E1213">
        <w:rPr>
          <w:rFonts w:ascii="Arial" w:hAnsi="Arial"/>
        </w:rPr>
        <w:t>The impact of unforeseen events which would fall initially on general balances.</w:t>
      </w:r>
    </w:p>
    <w:p w14:paraId="15C48116" w14:textId="77777777" w:rsidR="00EF556C" w:rsidRPr="002E1213" w:rsidRDefault="00EF556C" w:rsidP="00700C11">
      <w:pPr>
        <w:pStyle w:val="BodyText"/>
        <w:numPr>
          <w:ilvl w:val="0"/>
          <w:numId w:val="8"/>
        </w:numPr>
        <w:jc w:val="left"/>
        <w:rPr>
          <w:rFonts w:ascii="Arial" w:hAnsi="Arial"/>
        </w:rPr>
      </w:pPr>
      <w:r w:rsidRPr="002E1213">
        <w:rPr>
          <w:rFonts w:ascii="Arial" w:hAnsi="Arial"/>
        </w:rPr>
        <w:t>The need to meet new national standards and demands.</w:t>
      </w:r>
    </w:p>
    <w:p w14:paraId="2E98D354" w14:textId="77777777" w:rsidR="00EF556C" w:rsidRPr="002E1213" w:rsidRDefault="00EF556C" w:rsidP="00700C11">
      <w:pPr>
        <w:pStyle w:val="BodyText"/>
        <w:numPr>
          <w:ilvl w:val="0"/>
          <w:numId w:val="8"/>
        </w:numPr>
        <w:jc w:val="left"/>
        <w:rPr>
          <w:rFonts w:ascii="Arial" w:hAnsi="Arial"/>
        </w:rPr>
      </w:pPr>
      <w:r w:rsidRPr="002E1213">
        <w:rPr>
          <w:rFonts w:ascii="Arial" w:hAnsi="Arial"/>
        </w:rPr>
        <w:t xml:space="preserve">The impact of increasing </w:t>
      </w:r>
      <w:r w:rsidR="00940BAF" w:rsidRPr="002E1213">
        <w:rPr>
          <w:rFonts w:ascii="Arial" w:hAnsi="Arial"/>
        </w:rPr>
        <w:t>mandating</w:t>
      </w:r>
      <w:r w:rsidR="00281DF0">
        <w:rPr>
          <w:rFonts w:ascii="Arial" w:hAnsi="Arial"/>
        </w:rPr>
        <w:t xml:space="preserve"> of national contracts.</w:t>
      </w:r>
    </w:p>
    <w:p w14:paraId="37F0090B" w14:textId="77777777" w:rsidR="00EF556C" w:rsidRPr="00B25D89" w:rsidRDefault="00EF556C" w:rsidP="00887E34">
      <w:pPr>
        <w:pStyle w:val="BodyText"/>
        <w:ind w:left="720"/>
        <w:jc w:val="left"/>
        <w:rPr>
          <w:rFonts w:ascii="Arial" w:hAnsi="Arial"/>
        </w:rPr>
      </w:pPr>
    </w:p>
    <w:p w14:paraId="0E97C86F" w14:textId="7A99ADA6" w:rsidR="00EF556C" w:rsidRPr="002E1213" w:rsidRDefault="002F51B5" w:rsidP="00887E34">
      <w:pPr>
        <w:pStyle w:val="BodyText"/>
        <w:ind w:left="720" w:hanging="720"/>
        <w:jc w:val="left"/>
        <w:rPr>
          <w:rFonts w:ascii="Arial" w:hAnsi="Arial"/>
        </w:rPr>
      </w:pPr>
      <w:r w:rsidRPr="002E1213">
        <w:rPr>
          <w:rFonts w:ascii="Arial" w:hAnsi="Arial"/>
        </w:rPr>
        <w:t>1</w:t>
      </w:r>
      <w:r w:rsidR="00BF4A52">
        <w:rPr>
          <w:rFonts w:ascii="Arial" w:hAnsi="Arial"/>
        </w:rPr>
        <w:t>6</w:t>
      </w:r>
      <w:r w:rsidR="00DB5C35" w:rsidRPr="002E1213">
        <w:rPr>
          <w:rFonts w:ascii="Arial" w:hAnsi="Arial"/>
        </w:rPr>
        <w:t>.</w:t>
      </w:r>
      <w:r w:rsidRPr="002E1213">
        <w:rPr>
          <w:rFonts w:ascii="Arial" w:hAnsi="Arial"/>
        </w:rPr>
        <w:t>3</w:t>
      </w:r>
      <w:r w:rsidR="00DB5C35" w:rsidRPr="002E1213">
        <w:rPr>
          <w:rFonts w:ascii="Arial" w:hAnsi="Arial"/>
        </w:rPr>
        <w:tab/>
      </w:r>
      <w:r w:rsidR="00EF556C" w:rsidRPr="002E1213">
        <w:rPr>
          <w:rFonts w:ascii="Arial" w:hAnsi="Arial"/>
        </w:rPr>
        <w:t>Allowance is made for these risks by:</w:t>
      </w:r>
    </w:p>
    <w:p w14:paraId="6FF11134" w14:textId="77777777" w:rsidR="00EF556C" w:rsidRPr="002E1213" w:rsidRDefault="00EF556C" w:rsidP="00887E34">
      <w:pPr>
        <w:pStyle w:val="BodyText"/>
        <w:jc w:val="left"/>
        <w:rPr>
          <w:rFonts w:ascii="Arial" w:hAnsi="Arial"/>
        </w:rPr>
      </w:pPr>
    </w:p>
    <w:p w14:paraId="0E2DF1A7" w14:textId="77777777" w:rsidR="00EF556C" w:rsidRPr="002E1213" w:rsidRDefault="00EF556C" w:rsidP="00700C11">
      <w:pPr>
        <w:pStyle w:val="BodyText"/>
        <w:numPr>
          <w:ilvl w:val="0"/>
          <w:numId w:val="6"/>
        </w:numPr>
        <w:tabs>
          <w:tab w:val="clear" w:pos="360"/>
          <w:tab w:val="num" w:pos="1080"/>
        </w:tabs>
        <w:ind w:left="1080"/>
        <w:jc w:val="left"/>
        <w:rPr>
          <w:rFonts w:ascii="Arial" w:hAnsi="Arial"/>
        </w:rPr>
      </w:pPr>
      <w:r w:rsidRPr="002E1213">
        <w:rPr>
          <w:rFonts w:ascii="Arial" w:hAnsi="Arial"/>
        </w:rPr>
        <w:t>Making prudent allowance in the estimates on each of the budget headings.</w:t>
      </w:r>
    </w:p>
    <w:p w14:paraId="139C4D97" w14:textId="77777777" w:rsidR="00EF556C" w:rsidRPr="002E1213" w:rsidRDefault="00EF556C" w:rsidP="00700C11">
      <w:pPr>
        <w:pStyle w:val="BodyText"/>
        <w:numPr>
          <w:ilvl w:val="0"/>
          <w:numId w:val="7"/>
        </w:numPr>
        <w:tabs>
          <w:tab w:val="clear" w:pos="360"/>
          <w:tab w:val="num" w:pos="1080"/>
        </w:tabs>
        <w:ind w:left="1080"/>
        <w:jc w:val="left"/>
        <w:rPr>
          <w:rFonts w:ascii="Arial" w:hAnsi="Arial"/>
        </w:rPr>
      </w:pPr>
      <w:r w:rsidRPr="002E1213">
        <w:rPr>
          <w:rFonts w:ascii="Arial" w:hAnsi="Arial"/>
        </w:rPr>
        <w:t>Ensuring that there are adequate reserves to draw on if the estimates turn out to be insufficient.</w:t>
      </w:r>
    </w:p>
    <w:p w14:paraId="6E595CFD" w14:textId="77777777" w:rsidR="00EF556C" w:rsidRPr="002E1213" w:rsidRDefault="00EF556C" w:rsidP="00700C11">
      <w:pPr>
        <w:pStyle w:val="BodyText"/>
        <w:numPr>
          <w:ilvl w:val="0"/>
          <w:numId w:val="7"/>
        </w:numPr>
        <w:tabs>
          <w:tab w:val="clear" w:pos="360"/>
          <w:tab w:val="num" w:pos="1080"/>
        </w:tabs>
        <w:ind w:left="1080"/>
        <w:jc w:val="left"/>
        <w:rPr>
          <w:rFonts w:ascii="Arial" w:hAnsi="Arial"/>
        </w:rPr>
      </w:pPr>
      <w:r w:rsidRPr="002E1213">
        <w:rPr>
          <w:rFonts w:ascii="Arial" w:hAnsi="Arial"/>
        </w:rPr>
        <w:t>Robust financial management processes throughout the year to identify emerging spending pressures and manage them appropriately.</w:t>
      </w:r>
    </w:p>
    <w:p w14:paraId="75514C85" w14:textId="77777777" w:rsidR="00EF556C" w:rsidRPr="002E1213" w:rsidRDefault="00EF556C" w:rsidP="00887E34">
      <w:pPr>
        <w:pStyle w:val="BodyText"/>
        <w:ind w:left="720" w:hanging="720"/>
        <w:jc w:val="left"/>
        <w:rPr>
          <w:rFonts w:ascii="Arial" w:hAnsi="Arial"/>
        </w:rPr>
      </w:pPr>
    </w:p>
    <w:p w14:paraId="4AF178D6" w14:textId="48B6C59F" w:rsidR="00EF556C" w:rsidRDefault="002F51B5" w:rsidP="00887E34">
      <w:pPr>
        <w:pStyle w:val="BodyText"/>
        <w:ind w:left="720" w:hanging="720"/>
        <w:jc w:val="left"/>
        <w:rPr>
          <w:rFonts w:ascii="Arial" w:hAnsi="Arial"/>
        </w:rPr>
      </w:pPr>
      <w:r w:rsidRPr="002E1213">
        <w:rPr>
          <w:rFonts w:ascii="Arial" w:hAnsi="Arial"/>
        </w:rPr>
        <w:t>16</w:t>
      </w:r>
      <w:r w:rsidR="00DB5C35" w:rsidRPr="002E1213">
        <w:rPr>
          <w:rFonts w:ascii="Arial" w:hAnsi="Arial"/>
        </w:rPr>
        <w:t>.</w:t>
      </w:r>
      <w:r w:rsidRPr="002E1213">
        <w:rPr>
          <w:rFonts w:ascii="Arial" w:hAnsi="Arial"/>
        </w:rPr>
        <w:t>4</w:t>
      </w:r>
      <w:r w:rsidR="00DB5C35" w:rsidRPr="002E1213">
        <w:rPr>
          <w:rFonts w:ascii="Arial" w:hAnsi="Arial"/>
        </w:rPr>
        <w:tab/>
      </w:r>
      <w:r w:rsidR="00EF556C" w:rsidRPr="002E1213">
        <w:rPr>
          <w:rFonts w:ascii="Arial" w:hAnsi="Arial"/>
        </w:rPr>
        <w:t xml:space="preserve">With reference to robustness, the budget estimates are prepared and validated by qualified staff in the force Finance Department with due care and attention and in accordance with appropriate professional standards.  </w:t>
      </w:r>
    </w:p>
    <w:p w14:paraId="2CB58096" w14:textId="77777777" w:rsidR="00EF556C" w:rsidRPr="00537014" w:rsidRDefault="00EF556C" w:rsidP="00887E34">
      <w:pPr>
        <w:pStyle w:val="BodyText"/>
        <w:jc w:val="left"/>
        <w:rPr>
          <w:rFonts w:ascii="Arial" w:hAnsi="Arial"/>
        </w:rPr>
      </w:pPr>
    </w:p>
    <w:p w14:paraId="4A12C1F9" w14:textId="5288B3C8" w:rsidR="00EF556C" w:rsidRPr="002E1213" w:rsidRDefault="002F51B5" w:rsidP="00887E34">
      <w:pPr>
        <w:pStyle w:val="BodyText"/>
        <w:ind w:left="720" w:hanging="720"/>
        <w:jc w:val="left"/>
        <w:rPr>
          <w:rFonts w:ascii="Arial" w:hAnsi="Arial"/>
        </w:rPr>
      </w:pPr>
      <w:r w:rsidRPr="002E1213">
        <w:rPr>
          <w:rFonts w:ascii="Arial" w:hAnsi="Arial"/>
        </w:rPr>
        <w:t>16.5</w:t>
      </w:r>
      <w:r w:rsidR="00DB5C35" w:rsidRPr="002E1213">
        <w:rPr>
          <w:rFonts w:ascii="Arial" w:hAnsi="Arial"/>
        </w:rPr>
        <w:t>.</w:t>
      </w:r>
      <w:r w:rsidR="00DB5C35" w:rsidRPr="002E1213">
        <w:rPr>
          <w:rFonts w:ascii="Arial" w:hAnsi="Arial"/>
        </w:rPr>
        <w:tab/>
      </w:r>
      <w:r w:rsidR="00EF556C" w:rsidRPr="002E1213">
        <w:rPr>
          <w:rFonts w:ascii="Arial" w:hAnsi="Arial"/>
        </w:rPr>
        <w:t>Known spending pressures have been identified and provided for within the base budget.  Provision has been made for specific inflationary pressures on both pay and prices, although some budget heads have been cash limited.  Savings identified have been deducted from the budget and these have been phased in such a way that there is a justifiable expectation that they will be achieved</w:t>
      </w:r>
      <w:r w:rsidR="005364BD">
        <w:rPr>
          <w:rFonts w:ascii="Arial" w:hAnsi="Arial"/>
        </w:rPr>
        <w:t>.</w:t>
      </w:r>
    </w:p>
    <w:p w14:paraId="4CA8523C" w14:textId="77777777" w:rsidR="002D4F3E" w:rsidRPr="002E1213" w:rsidRDefault="002D4F3E" w:rsidP="00887E34">
      <w:pPr>
        <w:pStyle w:val="BodyText"/>
        <w:jc w:val="left"/>
        <w:rPr>
          <w:rFonts w:ascii="Arial" w:hAnsi="Arial"/>
        </w:rPr>
      </w:pPr>
    </w:p>
    <w:p w14:paraId="7067AD66" w14:textId="77777777" w:rsidR="00EF556C" w:rsidRPr="002E1213" w:rsidRDefault="002F51B5" w:rsidP="00940BAF">
      <w:pPr>
        <w:pStyle w:val="BodyText"/>
        <w:ind w:left="720" w:hanging="720"/>
        <w:jc w:val="left"/>
        <w:rPr>
          <w:rFonts w:ascii="Arial" w:hAnsi="Arial"/>
        </w:rPr>
      </w:pPr>
      <w:r w:rsidRPr="002E1213">
        <w:rPr>
          <w:rFonts w:ascii="Arial" w:hAnsi="Arial"/>
        </w:rPr>
        <w:t>16.6</w:t>
      </w:r>
      <w:r w:rsidR="00DB5C35" w:rsidRPr="002E1213">
        <w:rPr>
          <w:rFonts w:ascii="Arial" w:hAnsi="Arial"/>
        </w:rPr>
        <w:t>.</w:t>
      </w:r>
      <w:r w:rsidR="00DB5C35" w:rsidRPr="002E1213">
        <w:rPr>
          <w:rFonts w:ascii="Arial" w:hAnsi="Arial"/>
        </w:rPr>
        <w:tab/>
      </w:r>
      <w:r w:rsidR="00EF556C" w:rsidRPr="002E1213">
        <w:rPr>
          <w:rFonts w:ascii="Arial" w:hAnsi="Arial"/>
        </w:rPr>
        <w:t>The costs of borrowing and the estimate of investment interest are based on latest forecasts of interest rate movements during the year in accordance with the Treasury Management Strategy.</w:t>
      </w:r>
    </w:p>
    <w:p w14:paraId="54740795" w14:textId="77777777" w:rsidR="00EF556C" w:rsidRPr="002E1213" w:rsidRDefault="00EF556C" w:rsidP="00887E34">
      <w:pPr>
        <w:pStyle w:val="BodyText"/>
        <w:ind w:left="720" w:hanging="720"/>
        <w:jc w:val="left"/>
        <w:rPr>
          <w:rFonts w:ascii="Arial" w:hAnsi="Arial"/>
        </w:rPr>
      </w:pPr>
    </w:p>
    <w:p w14:paraId="0253BDC4" w14:textId="77777777" w:rsidR="00EF556C" w:rsidRDefault="00940BAF" w:rsidP="00887E34">
      <w:pPr>
        <w:pStyle w:val="BodyText"/>
        <w:ind w:left="720" w:hanging="720"/>
        <w:jc w:val="left"/>
        <w:rPr>
          <w:rFonts w:ascii="Arial" w:hAnsi="Arial"/>
        </w:rPr>
      </w:pPr>
      <w:r>
        <w:rPr>
          <w:rFonts w:ascii="Arial" w:hAnsi="Arial"/>
        </w:rPr>
        <w:t>16.7</w:t>
      </w:r>
      <w:r w:rsidR="00DB5C35" w:rsidRPr="002E1213">
        <w:rPr>
          <w:rFonts w:ascii="Arial" w:hAnsi="Arial"/>
        </w:rPr>
        <w:tab/>
      </w:r>
      <w:r w:rsidR="00EF556C" w:rsidRPr="002E1213">
        <w:rPr>
          <w:rFonts w:ascii="Arial" w:hAnsi="Arial"/>
        </w:rPr>
        <w:t>On adequacy of reserves, an appropriate level of general balances has been assessed using a risk-based approach in accordance with CIPFA guidance, and the budget proposals allow for this level to be maintained.  While balances are currently adequate, there are significant uncertainties in the medium term forecast as outlined above.  The adequacy of the insurance provision against estimated known liabilities is assessed throughout the year and at the year-end.</w:t>
      </w:r>
      <w:r w:rsidR="00EF556C" w:rsidRPr="008C5BC4">
        <w:rPr>
          <w:rFonts w:ascii="Arial" w:hAnsi="Arial"/>
        </w:rPr>
        <w:t xml:space="preserve"> </w:t>
      </w:r>
    </w:p>
    <w:p w14:paraId="61A3CB7D" w14:textId="77777777" w:rsidR="00F44CFD" w:rsidRDefault="00F44CFD" w:rsidP="00887E34">
      <w:pPr>
        <w:pStyle w:val="BodyText"/>
        <w:ind w:left="720" w:hanging="720"/>
        <w:jc w:val="left"/>
        <w:rPr>
          <w:rFonts w:ascii="Arial" w:hAnsi="Arial"/>
        </w:rPr>
      </w:pPr>
    </w:p>
    <w:p w14:paraId="63C25898" w14:textId="77777777" w:rsidR="00EF556C" w:rsidRPr="006D39B3" w:rsidRDefault="00EF556C" w:rsidP="00887E34"/>
    <w:p w14:paraId="31CDBC6D" w14:textId="77777777" w:rsidR="006D39B3" w:rsidRPr="00DB5C35" w:rsidRDefault="002F51B5" w:rsidP="00887E34">
      <w:pPr>
        <w:pStyle w:val="BodyText"/>
        <w:jc w:val="left"/>
        <w:rPr>
          <w:rFonts w:ascii="Arial" w:hAnsi="Arial"/>
          <w:b/>
        </w:rPr>
      </w:pPr>
      <w:r>
        <w:rPr>
          <w:rFonts w:ascii="Arial" w:hAnsi="Arial"/>
          <w:b/>
        </w:rPr>
        <w:t>17</w:t>
      </w:r>
      <w:r w:rsidR="00D1256A">
        <w:rPr>
          <w:rFonts w:ascii="Arial" w:hAnsi="Arial"/>
          <w:b/>
        </w:rPr>
        <w:t>.</w:t>
      </w:r>
      <w:r>
        <w:rPr>
          <w:rFonts w:ascii="Arial" w:hAnsi="Arial"/>
          <w:b/>
        </w:rPr>
        <w:tab/>
      </w:r>
      <w:r w:rsidR="00162DA5" w:rsidRPr="00DB5C35">
        <w:rPr>
          <w:rFonts w:ascii="Arial" w:hAnsi="Arial"/>
          <w:b/>
        </w:rPr>
        <w:t xml:space="preserve">NOTIFICATION TO THE </w:t>
      </w:r>
      <w:smartTag w:uri="urn:schemas-microsoft-com:office:smarttags" w:element="place">
        <w:r w:rsidR="00162DA5" w:rsidRPr="00DB5C35">
          <w:rPr>
            <w:rFonts w:ascii="Arial" w:hAnsi="Arial"/>
            <w:b/>
          </w:rPr>
          <w:t>WEST YORKSHIRE</w:t>
        </w:r>
      </w:smartTag>
      <w:r w:rsidR="00162DA5" w:rsidRPr="00DB5C35">
        <w:rPr>
          <w:rFonts w:ascii="Arial" w:hAnsi="Arial"/>
          <w:b/>
        </w:rPr>
        <w:t xml:space="preserve"> POLICE AND CRIME PANEL </w:t>
      </w:r>
    </w:p>
    <w:p w14:paraId="3CC26914" w14:textId="77777777" w:rsidR="006D39B3" w:rsidRDefault="006D39B3" w:rsidP="00887E34">
      <w:pPr>
        <w:pStyle w:val="BodyText"/>
        <w:jc w:val="left"/>
        <w:rPr>
          <w:rFonts w:ascii="Arial" w:hAnsi="Arial"/>
        </w:rPr>
      </w:pPr>
    </w:p>
    <w:p w14:paraId="0946090C" w14:textId="5C5D95EA" w:rsidR="00A075AC" w:rsidRPr="00A075AC" w:rsidRDefault="002F51B5" w:rsidP="00887E34">
      <w:pPr>
        <w:pStyle w:val="BodyText"/>
        <w:ind w:left="720" w:hanging="720"/>
        <w:jc w:val="left"/>
        <w:rPr>
          <w:rFonts w:ascii="Arial" w:hAnsi="Arial"/>
        </w:rPr>
      </w:pPr>
      <w:r>
        <w:rPr>
          <w:rFonts w:ascii="Arial" w:hAnsi="Arial"/>
        </w:rPr>
        <w:t>17.1</w:t>
      </w:r>
      <w:r>
        <w:rPr>
          <w:rFonts w:ascii="Arial" w:hAnsi="Arial"/>
        </w:rPr>
        <w:tab/>
      </w:r>
      <w:r w:rsidR="0014239F" w:rsidRPr="0004102D">
        <w:rPr>
          <w:rFonts w:ascii="Arial" w:hAnsi="Arial"/>
        </w:rPr>
        <w:t xml:space="preserve">On </w:t>
      </w:r>
      <w:r w:rsidR="00F44CFD" w:rsidRPr="00DC23DD">
        <w:rPr>
          <w:rFonts w:ascii="Arial" w:hAnsi="Arial"/>
        </w:rPr>
        <w:t>2</w:t>
      </w:r>
      <w:r w:rsidR="00DC23DD" w:rsidRPr="00DC23DD">
        <w:rPr>
          <w:rFonts w:ascii="Arial" w:hAnsi="Arial"/>
        </w:rPr>
        <w:t>9</w:t>
      </w:r>
      <w:r w:rsidR="000647A5" w:rsidRPr="00DC23DD">
        <w:rPr>
          <w:rFonts w:ascii="Arial" w:hAnsi="Arial"/>
        </w:rPr>
        <w:t>th</w:t>
      </w:r>
      <w:r w:rsidR="00A075AC" w:rsidRPr="0004102D">
        <w:rPr>
          <w:rFonts w:ascii="Arial" w:hAnsi="Arial"/>
        </w:rPr>
        <w:t xml:space="preserve"> January</w:t>
      </w:r>
      <w:r w:rsidR="00A075AC" w:rsidRPr="00DC2F48">
        <w:rPr>
          <w:rFonts w:ascii="Arial" w:hAnsi="Arial"/>
        </w:rPr>
        <w:t xml:space="preserve"> </w:t>
      </w:r>
      <w:r w:rsidR="00F44CFD">
        <w:rPr>
          <w:rFonts w:ascii="Arial" w:hAnsi="Arial"/>
        </w:rPr>
        <w:t>202</w:t>
      </w:r>
      <w:r w:rsidR="00916A07">
        <w:rPr>
          <w:rFonts w:ascii="Arial" w:hAnsi="Arial"/>
        </w:rPr>
        <w:t>5</w:t>
      </w:r>
      <w:r w:rsidR="00020310">
        <w:rPr>
          <w:rFonts w:ascii="Arial" w:hAnsi="Arial"/>
        </w:rPr>
        <w:t xml:space="preserve"> </w:t>
      </w:r>
      <w:r w:rsidR="00A075AC" w:rsidRPr="00DC2F48">
        <w:rPr>
          <w:rFonts w:ascii="Arial" w:hAnsi="Arial"/>
        </w:rPr>
        <w:t xml:space="preserve">the </w:t>
      </w:r>
      <w:r w:rsidR="00572F6B">
        <w:rPr>
          <w:rFonts w:ascii="Arial" w:hAnsi="Arial"/>
        </w:rPr>
        <w:t>Mayor</w:t>
      </w:r>
      <w:r w:rsidR="00A075AC" w:rsidRPr="00DC2F48">
        <w:rPr>
          <w:rFonts w:ascii="Arial" w:hAnsi="Arial"/>
        </w:rPr>
        <w:t xml:space="preserve"> notified the Police and Crime Panel for West Yorkshire </w:t>
      </w:r>
      <w:r w:rsidR="0014239F" w:rsidRPr="00DC2F48">
        <w:rPr>
          <w:rFonts w:ascii="Arial" w:hAnsi="Arial"/>
        </w:rPr>
        <w:t>of h</w:t>
      </w:r>
      <w:r w:rsidR="00572F6B">
        <w:rPr>
          <w:rFonts w:ascii="Arial" w:hAnsi="Arial"/>
        </w:rPr>
        <w:t>er</w:t>
      </w:r>
      <w:r w:rsidR="0014239F" w:rsidRPr="00DC2F48">
        <w:rPr>
          <w:rFonts w:ascii="Arial" w:hAnsi="Arial"/>
        </w:rPr>
        <w:t xml:space="preserve"> proposed</w:t>
      </w:r>
      <w:r w:rsidR="0014239F">
        <w:rPr>
          <w:rFonts w:ascii="Arial" w:hAnsi="Arial"/>
        </w:rPr>
        <w:t xml:space="preserve"> precept for </w:t>
      </w:r>
      <w:r w:rsidR="00F44CFD">
        <w:rPr>
          <w:rFonts w:ascii="Arial" w:hAnsi="Arial"/>
        </w:rPr>
        <w:t>202</w:t>
      </w:r>
      <w:r w:rsidR="00916A07">
        <w:rPr>
          <w:rFonts w:ascii="Arial" w:hAnsi="Arial"/>
        </w:rPr>
        <w:t>5/26</w:t>
      </w:r>
      <w:r w:rsidR="00A075AC" w:rsidRPr="00A075AC">
        <w:rPr>
          <w:rFonts w:ascii="Arial" w:hAnsi="Arial"/>
        </w:rPr>
        <w:t>.  The Panel forma</w:t>
      </w:r>
      <w:r w:rsidR="0014239F">
        <w:rPr>
          <w:rFonts w:ascii="Arial" w:hAnsi="Arial"/>
        </w:rPr>
        <w:t xml:space="preserve">lly considered the proposal on </w:t>
      </w:r>
      <w:r w:rsidR="00916A07">
        <w:rPr>
          <w:rFonts w:ascii="Arial" w:hAnsi="Arial"/>
        </w:rPr>
        <w:t>7</w:t>
      </w:r>
      <w:r w:rsidR="000647A5">
        <w:rPr>
          <w:rFonts w:ascii="Arial" w:hAnsi="Arial"/>
        </w:rPr>
        <w:t>th</w:t>
      </w:r>
      <w:r w:rsidR="00A075AC" w:rsidRPr="00A075AC">
        <w:rPr>
          <w:rFonts w:ascii="Arial" w:hAnsi="Arial"/>
        </w:rPr>
        <w:t xml:space="preserve"> February</w:t>
      </w:r>
      <w:r w:rsidR="00F44CFD">
        <w:rPr>
          <w:rFonts w:ascii="Arial" w:hAnsi="Arial"/>
        </w:rPr>
        <w:t xml:space="preserve"> 202</w:t>
      </w:r>
      <w:r w:rsidR="00916A07">
        <w:rPr>
          <w:rFonts w:ascii="Arial" w:hAnsi="Arial"/>
        </w:rPr>
        <w:t>5</w:t>
      </w:r>
      <w:r w:rsidR="00A075AC" w:rsidRPr="00A075AC">
        <w:rPr>
          <w:rFonts w:ascii="Arial" w:hAnsi="Arial"/>
        </w:rPr>
        <w:t xml:space="preserve">, and, as it is required </w:t>
      </w:r>
      <w:r w:rsidR="00A075AC">
        <w:rPr>
          <w:rFonts w:ascii="Arial" w:hAnsi="Arial"/>
        </w:rPr>
        <w:t>to do by law, has issued</w:t>
      </w:r>
      <w:r w:rsidR="00A075AC" w:rsidRPr="00A075AC">
        <w:rPr>
          <w:rFonts w:ascii="Arial" w:hAnsi="Arial"/>
        </w:rPr>
        <w:t xml:space="preserve"> a report on that proposal.</w:t>
      </w:r>
    </w:p>
    <w:p w14:paraId="5ED5D099" w14:textId="77777777" w:rsidR="00A075AC" w:rsidRPr="00A075AC" w:rsidRDefault="00A075AC" w:rsidP="00887E34">
      <w:pPr>
        <w:pStyle w:val="BodyText"/>
        <w:jc w:val="left"/>
        <w:rPr>
          <w:rFonts w:ascii="Arial" w:hAnsi="Arial"/>
        </w:rPr>
      </w:pPr>
    </w:p>
    <w:p w14:paraId="4BB0631C" w14:textId="4D62D40B" w:rsidR="0000566D" w:rsidRPr="00A507F1" w:rsidRDefault="002F51B5" w:rsidP="00887E34">
      <w:pPr>
        <w:pStyle w:val="BodyText"/>
        <w:ind w:left="720" w:hanging="720"/>
        <w:jc w:val="left"/>
        <w:rPr>
          <w:rFonts w:ascii="Arial" w:hAnsi="Arial"/>
        </w:rPr>
      </w:pPr>
      <w:r w:rsidRPr="00A6301B">
        <w:rPr>
          <w:rFonts w:ascii="Arial" w:hAnsi="Arial"/>
        </w:rPr>
        <w:t>17.2</w:t>
      </w:r>
      <w:r w:rsidRPr="00A6301B">
        <w:rPr>
          <w:rFonts w:ascii="Arial" w:hAnsi="Arial"/>
        </w:rPr>
        <w:tab/>
      </w:r>
      <w:r w:rsidR="00A075AC" w:rsidRPr="00A6301B">
        <w:rPr>
          <w:rFonts w:ascii="Arial" w:hAnsi="Arial"/>
        </w:rPr>
        <w:t xml:space="preserve">The Panel considered the </w:t>
      </w:r>
      <w:r w:rsidR="00572F6B">
        <w:rPr>
          <w:rFonts w:ascii="Arial" w:hAnsi="Arial"/>
        </w:rPr>
        <w:t>Mayor</w:t>
      </w:r>
      <w:r w:rsidR="00A075AC" w:rsidRPr="00A6301B">
        <w:rPr>
          <w:rFonts w:ascii="Arial" w:hAnsi="Arial"/>
        </w:rPr>
        <w:t xml:space="preserve">’s proposal and </w:t>
      </w:r>
      <w:r w:rsidR="0014239F" w:rsidRPr="00A6301B">
        <w:rPr>
          <w:rFonts w:ascii="Arial" w:hAnsi="Arial"/>
        </w:rPr>
        <w:t xml:space="preserve">supported a </w:t>
      </w:r>
      <w:r w:rsidR="00F44CFD">
        <w:rPr>
          <w:rFonts w:ascii="Arial" w:hAnsi="Arial"/>
        </w:rPr>
        <w:t>£1</w:t>
      </w:r>
      <w:r w:rsidR="00916A07">
        <w:rPr>
          <w:rFonts w:ascii="Arial" w:hAnsi="Arial"/>
        </w:rPr>
        <w:t>4</w:t>
      </w:r>
      <w:r w:rsidR="00A5058B">
        <w:rPr>
          <w:rFonts w:ascii="Arial" w:hAnsi="Arial"/>
        </w:rPr>
        <w:t xml:space="preserve"> </w:t>
      </w:r>
      <w:r w:rsidR="00A075AC" w:rsidRPr="00A6301B">
        <w:rPr>
          <w:rFonts w:ascii="Arial" w:hAnsi="Arial"/>
        </w:rPr>
        <w:t>per annum increase at Band D.  A copy of the Panel’s report</w:t>
      </w:r>
      <w:r w:rsidR="00162DA5" w:rsidRPr="00A6301B">
        <w:rPr>
          <w:rFonts w:ascii="Arial" w:hAnsi="Arial"/>
        </w:rPr>
        <w:t>,</w:t>
      </w:r>
      <w:r w:rsidR="00A075AC" w:rsidRPr="00A6301B">
        <w:rPr>
          <w:rFonts w:ascii="Arial" w:hAnsi="Arial"/>
        </w:rPr>
        <w:t xml:space="preserve"> including the recommendations made to the </w:t>
      </w:r>
      <w:r w:rsidR="00572F6B">
        <w:rPr>
          <w:rFonts w:ascii="Arial" w:hAnsi="Arial"/>
        </w:rPr>
        <w:t>Major</w:t>
      </w:r>
      <w:r w:rsidR="00A075AC" w:rsidRPr="00A6301B">
        <w:rPr>
          <w:rFonts w:ascii="Arial" w:hAnsi="Arial"/>
        </w:rPr>
        <w:t>, and the</w:t>
      </w:r>
      <w:r w:rsidR="0014239F" w:rsidRPr="00A6301B">
        <w:rPr>
          <w:rFonts w:ascii="Arial" w:hAnsi="Arial"/>
        </w:rPr>
        <w:t xml:space="preserve"> </w:t>
      </w:r>
      <w:r w:rsidR="00572F6B">
        <w:rPr>
          <w:rFonts w:ascii="Arial" w:hAnsi="Arial"/>
        </w:rPr>
        <w:t>Mayor</w:t>
      </w:r>
      <w:r w:rsidR="00A075AC" w:rsidRPr="00A6301B">
        <w:rPr>
          <w:rFonts w:ascii="Arial" w:hAnsi="Arial"/>
        </w:rPr>
        <w:t xml:space="preserve">’s response is included at Appendix </w:t>
      </w:r>
      <w:r w:rsidR="00A848C6">
        <w:rPr>
          <w:rFonts w:ascii="Arial" w:hAnsi="Arial"/>
        </w:rPr>
        <w:t>B</w:t>
      </w:r>
      <w:r w:rsidR="00A075AC" w:rsidRPr="00A6301B">
        <w:rPr>
          <w:rFonts w:ascii="Arial" w:hAnsi="Arial"/>
        </w:rPr>
        <w:t>.</w:t>
      </w:r>
    </w:p>
    <w:p w14:paraId="48D707BB" w14:textId="77777777" w:rsidR="002A7735" w:rsidRPr="00A075AC" w:rsidRDefault="002A7735" w:rsidP="00887E34">
      <w:pPr>
        <w:pStyle w:val="BodyText"/>
        <w:jc w:val="left"/>
        <w:rPr>
          <w:rFonts w:ascii="Arial" w:hAnsi="Arial"/>
        </w:rPr>
      </w:pPr>
    </w:p>
    <w:sectPr w:rsidR="002A7735" w:rsidRPr="00A075AC" w:rsidSect="00CB504F">
      <w:headerReference w:type="even" r:id="rId13"/>
      <w:headerReference w:type="default" r:id="rId14"/>
      <w:footerReference w:type="even" r:id="rId15"/>
      <w:footerReference w:type="default" r:id="rId16"/>
      <w:headerReference w:type="first" r:id="rId17"/>
      <w:footerReference w:type="first" r:id="rId18"/>
      <w:pgSz w:w="11906" w:h="16838" w:code="9"/>
      <w:pgMar w:top="993" w:right="1134"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23D8" w14:textId="77777777" w:rsidR="00F82C97" w:rsidRDefault="00F82C97">
      <w:r>
        <w:separator/>
      </w:r>
    </w:p>
  </w:endnote>
  <w:endnote w:type="continuationSeparator" w:id="0">
    <w:p w14:paraId="0903828F" w14:textId="77777777" w:rsidR="00F82C97" w:rsidRDefault="00F82C97">
      <w:r>
        <w:continuationSeparator/>
      </w:r>
    </w:p>
  </w:endnote>
  <w:endnote w:type="continuationNotice" w:id="1">
    <w:p w14:paraId="333AB2B5" w14:textId="77777777" w:rsidR="00F82C97" w:rsidRDefault="00F8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6424" w14:textId="77777777" w:rsidR="00117971" w:rsidRDefault="0011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0EC6" w14:textId="77777777" w:rsidR="00117971" w:rsidRDefault="00117971" w:rsidP="00EF55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BB3E" w14:textId="77777777" w:rsidR="00117971" w:rsidRDefault="0011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4639" w14:textId="77777777" w:rsidR="00F82C97" w:rsidRDefault="00F82C97">
      <w:r>
        <w:separator/>
      </w:r>
    </w:p>
  </w:footnote>
  <w:footnote w:type="continuationSeparator" w:id="0">
    <w:p w14:paraId="7F25DB80" w14:textId="77777777" w:rsidR="00F82C97" w:rsidRDefault="00F82C97">
      <w:r>
        <w:continuationSeparator/>
      </w:r>
    </w:p>
  </w:footnote>
  <w:footnote w:type="continuationNotice" w:id="1">
    <w:p w14:paraId="666B32DC" w14:textId="77777777" w:rsidR="00F82C97" w:rsidRDefault="00F82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86D5" w14:textId="77777777" w:rsidR="00117971" w:rsidRDefault="0011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6074" w14:textId="77777777" w:rsidR="00117971" w:rsidRDefault="00117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237C" w14:textId="77777777" w:rsidR="00117971" w:rsidRDefault="0011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5DE"/>
    <w:multiLevelType w:val="hybridMultilevel"/>
    <w:tmpl w:val="C1C2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A6B2F"/>
    <w:multiLevelType w:val="singleLevel"/>
    <w:tmpl w:val="59B4E4A2"/>
    <w:lvl w:ilvl="0">
      <w:start w:val="1"/>
      <w:numFmt w:val="bullet"/>
      <w:lvlText w:val=""/>
      <w:lvlJc w:val="left"/>
      <w:pPr>
        <w:ind w:left="720" w:hanging="360"/>
      </w:pPr>
      <w:rPr>
        <w:rFonts w:ascii="Symbol" w:hAnsi="Symbol" w:hint="default"/>
        <w:color w:val="auto"/>
      </w:rPr>
    </w:lvl>
  </w:abstractNum>
  <w:abstractNum w:abstractNumId="2"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F65D3"/>
    <w:multiLevelType w:val="hybridMultilevel"/>
    <w:tmpl w:val="5420A51C"/>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DEB1256"/>
    <w:multiLevelType w:val="hybridMultilevel"/>
    <w:tmpl w:val="61F6B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644BF4"/>
    <w:multiLevelType w:val="hybridMultilevel"/>
    <w:tmpl w:val="21DC6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EF2680"/>
    <w:multiLevelType w:val="hybridMultilevel"/>
    <w:tmpl w:val="91061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1B1F71"/>
    <w:multiLevelType w:val="hybridMultilevel"/>
    <w:tmpl w:val="29A023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0A3668F"/>
    <w:multiLevelType w:val="multilevel"/>
    <w:tmpl w:val="8B70B4F2"/>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E275B"/>
    <w:multiLevelType w:val="hybridMultilevel"/>
    <w:tmpl w:val="E7EAB08A"/>
    <w:lvl w:ilvl="0" w:tplc="B6FA1AD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7F0618"/>
    <w:multiLevelType w:val="multilevel"/>
    <w:tmpl w:val="EB887D30"/>
    <w:lvl w:ilvl="0">
      <w:start w:val="1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A72D8"/>
    <w:multiLevelType w:val="hybridMultilevel"/>
    <w:tmpl w:val="19729100"/>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2EE2BEC"/>
    <w:multiLevelType w:val="hybridMultilevel"/>
    <w:tmpl w:val="7D4A1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4492B82"/>
    <w:multiLevelType w:val="hybridMultilevel"/>
    <w:tmpl w:val="CB5C04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D23199"/>
    <w:multiLevelType w:val="hybridMultilevel"/>
    <w:tmpl w:val="8572002A"/>
    <w:lvl w:ilvl="0" w:tplc="11FE7F1A">
      <w:start w:val="8"/>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8F57467"/>
    <w:multiLevelType w:val="hybridMultilevel"/>
    <w:tmpl w:val="43126832"/>
    <w:lvl w:ilvl="0" w:tplc="72DCCE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E51DD5"/>
    <w:multiLevelType w:val="hybridMultilevel"/>
    <w:tmpl w:val="6A8AB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017B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F65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832266"/>
    <w:multiLevelType w:val="hybridMultilevel"/>
    <w:tmpl w:val="DE82C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BF77864"/>
    <w:multiLevelType w:val="hybridMultilevel"/>
    <w:tmpl w:val="F2321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D4E77A7"/>
    <w:multiLevelType w:val="multilevel"/>
    <w:tmpl w:val="4852D2EE"/>
    <w:lvl w:ilvl="0">
      <w:start w:val="1"/>
      <w:numFmt w:val="bullet"/>
      <w:lvlText w:val=""/>
      <w:lvlJc w:val="left"/>
      <w:pPr>
        <w:ind w:left="468" w:hanging="468"/>
      </w:pPr>
      <w:rPr>
        <w:rFonts w:ascii="Symbol" w:hAnsi="Symbol"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8B3A8F"/>
    <w:multiLevelType w:val="hybridMultilevel"/>
    <w:tmpl w:val="3F18EE4C"/>
    <w:lvl w:ilvl="0" w:tplc="FFFFFFFF">
      <w:start w:val="3"/>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0714D83"/>
    <w:multiLevelType w:val="hybridMultilevel"/>
    <w:tmpl w:val="D79E4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0813C9C"/>
    <w:multiLevelType w:val="hybridMultilevel"/>
    <w:tmpl w:val="E2FC84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757368"/>
    <w:multiLevelType w:val="hybridMultilevel"/>
    <w:tmpl w:val="2F729EC4"/>
    <w:lvl w:ilvl="0" w:tplc="3934C9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B5228EC"/>
    <w:multiLevelType w:val="hybridMultilevel"/>
    <w:tmpl w:val="66A2C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B8E232B"/>
    <w:multiLevelType w:val="multilevel"/>
    <w:tmpl w:val="D030728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924469"/>
    <w:multiLevelType w:val="hybridMultilevel"/>
    <w:tmpl w:val="639840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BA75352"/>
    <w:multiLevelType w:val="multilevel"/>
    <w:tmpl w:val="E91EC18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F76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8C714A"/>
    <w:multiLevelType w:val="hybridMultilevel"/>
    <w:tmpl w:val="C9542C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2E111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E01F0D"/>
    <w:multiLevelType w:val="hybridMultilevel"/>
    <w:tmpl w:val="3C9C9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F03728"/>
    <w:multiLevelType w:val="hybridMultilevel"/>
    <w:tmpl w:val="E6D6645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752781"/>
    <w:multiLevelType w:val="hybridMultilevel"/>
    <w:tmpl w:val="654C792A"/>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6F915300"/>
    <w:multiLevelType w:val="hybridMultilevel"/>
    <w:tmpl w:val="B83A4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2A31D0E"/>
    <w:multiLevelType w:val="hybridMultilevel"/>
    <w:tmpl w:val="D35637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AB955BA"/>
    <w:multiLevelType w:val="hybridMultilevel"/>
    <w:tmpl w:val="7A08E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87850619">
    <w:abstractNumId w:val="19"/>
  </w:num>
  <w:num w:numId="2" w16cid:durableId="116874802">
    <w:abstractNumId w:val="1"/>
  </w:num>
  <w:num w:numId="3" w16cid:durableId="1383872624">
    <w:abstractNumId w:val="34"/>
  </w:num>
  <w:num w:numId="4" w16cid:durableId="3558005">
    <w:abstractNumId w:val="24"/>
  </w:num>
  <w:num w:numId="5" w16cid:durableId="491600599">
    <w:abstractNumId w:val="15"/>
  </w:num>
  <w:num w:numId="6" w16cid:durableId="478115529">
    <w:abstractNumId w:val="32"/>
  </w:num>
  <w:num w:numId="7" w16cid:durableId="1183207880">
    <w:abstractNumId w:val="20"/>
  </w:num>
  <w:num w:numId="8" w16cid:durableId="67306484">
    <w:abstractNumId w:val="37"/>
  </w:num>
  <w:num w:numId="9" w16cid:durableId="369570861">
    <w:abstractNumId w:val="3"/>
  </w:num>
  <w:num w:numId="10" w16cid:durableId="1263227574">
    <w:abstractNumId w:val="38"/>
  </w:num>
  <w:num w:numId="11" w16cid:durableId="458691040">
    <w:abstractNumId w:val="11"/>
  </w:num>
  <w:num w:numId="12" w16cid:durableId="1884903006">
    <w:abstractNumId w:val="26"/>
  </w:num>
  <w:num w:numId="13" w16cid:durableId="1991246992">
    <w:abstractNumId w:val="9"/>
  </w:num>
  <w:num w:numId="14" w16cid:durableId="1695304581">
    <w:abstractNumId w:val="17"/>
  </w:num>
  <w:num w:numId="15" w16cid:durableId="1672413307">
    <w:abstractNumId w:val="6"/>
  </w:num>
  <w:num w:numId="16" w16cid:durableId="778329746">
    <w:abstractNumId w:val="7"/>
  </w:num>
  <w:num w:numId="17" w16cid:durableId="529689299">
    <w:abstractNumId w:val="31"/>
  </w:num>
  <w:num w:numId="18" w16cid:durableId="1522013782">
    <w:abstractNumId w:val="10"/>
  </w:num>
  <w:num w:numId="19" w16cid:durableId="538276631">
    <w:abstractNumId w:val="0"/>
  </w:num>
  <w:num w:numId="20" w16cid:durableId="1967850250">
    <w:abstractNumId w:val="33"/>
  </w:num>
  <w:num w:numId="21" w16cid:durableId="995766350">
    <w:abstractNumId w:val="14"/>
  </w:num>
  <w:num w:numId="22" w16cid:durableId="1116144562">
    <w:abstractNumId w:val="18"/>
  </w:num>
  <w:num w:numId="23" w16cid:durableId="1023940798">
    <w:abstractNumId w:val="36"/>
  </w:num>
  <w:num w:numId="24" w16cid:durableId="2053653522">
    <w:abstractNumId w:val="8"/>
  </w:num>
  <w:num w:numId="25" w16cid:durableId="1889297794">
    <w:abstractNumId w:val="29"/>
  </w:num>
  <w:num w:numId="26" w16cid:durableId="1847749652">
    <w:abstractNumId w:val="2"/>
  </w:num>
  <w:num w:numId="27" w16cid:durableId="552304175">
    <w:abstractNumId w:val="23"/>
  </w:num>
  <w:num w:numId="28" w16cid:durableId="1427848236">
    <w:abstractNumId w:val="11"/>
  </w:num>
  <w:num w:numId="29" w16cid:durableId="913202527">
    <w:abstractNumId w:val="18"/>
  </w:num>
  <w:num w:numId="30" w16cid:durableId="2105490665">
    <w:abstractNumId w:val="14"/>
  </w:num>
  <w:num w:numId="31" w16cid:durableId="1829200563">
    <w:abstractNumId w:val="30"/>
  </w:num>
  <w:num w:numId="32" w16cid:durableId="1455364378">
    <w:abstractNumId w:val="12"/>
  </w:num>
  <w:num w:numId="33" w16cid:durableId="1979913570">
    <w:abstractNumId w:val="4"/>
  </w:num>
  <w:num w:numId="34" w16cid:durableId="750927669">
    <w:abstractNumId w:val="41"/>
  </w:num>
  <w:num w:numId="35" w16cid:durableId="973221197">
    <w:abstractNumId w:val="39"/>
  </w:num>
  <w:num w:numId="36" w16cid:durableId="1882548382">
    <w:abstractNumId w:val="16"/>
  </w:num>
  <w:num w:numId="37" w16cid:durableId="1216239990">
    <w:abstractNumId w:val="22"/>
  </w:num>
  <w:num w:numId="38" w16cid:durableId="1921285527">
    <w:abstractNumId w:val="25"/>
  </w:num>
  <w:num w:numId="39" w16cid:durableId="2139688536">
    <w:abstractNumId w:val="35"/>
  </w:num>
  <w:num w:numId="40" w16cid:durableId="631247236">
    <w:abstractNumId w:val="28"/>
  </w:num>
  <w:num w:numId="41" w16cid:durableId="822282488">
    <w:abstractNumId w:val="21"/>
  </w:num>
  <w:num w:numId="42" w16cid:durableId="1210143532">
    <w:abstractNumId w:val="27"/>
  </w:num>
  <w:num w:numId="43" w16cid:durableId="1974023093">
    <w:abstractNumId w:val="5"/>
  </w:num>
  <w:num w:numId="44" w16cid:durableId="971786596">
    <w:abstractNumId w:val="13"/>
  </w:num>
  <w:num w:numId="45" w16cid:durableId="39551939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37"/>
    <w:rsid w:val="000020CD"/>
    <w:rsid w:val="00003AA6"/>
    <w:rsid w:val="0000566D"/>
    <w:rsid w:val="00010282"/>
    <w:rsid w:val="000122DC"/>
    <w:rsid w:val="000125EC"/>
    <w:rsid w:val="00013B23"/>
    <w:rsid w:val="00015989"/>
    <w:rsid w:val="00020310"/>
    <w:rsid w:val="00021A71"/>
    <w:rsid w:val="00021A9A"/>
    <w:rsid w:val="00023259"/>
    <w:rsid w:val="000337DC"/>
    <w:rsid w:val="00033949"/>
    <w:rsid w:val="00035F04"/>
    <w:rsid w:val="000407AE"/>
    <w:rsid w:val="0004084C"/>
    <w:rsid w:val="0004102D"/>
    <w:rsid w:val="0004374B"/>
    <w:rsid w:val="0005716A"/>
    <w:rsid w:val="0006051F"/>
    <w:rsid w:val="00061534"/>
    <w:rsid w:val="000618E8"/>
    <w:rsid w:val="00063251"/>
    <w:rsid w:val="0006422E"/>
    <w:rsid w:val="000646EB"/>
    <w:rsid w:val="000647A5"/>
    <w:rsid w:val="000670A7"/>
    <w:rsid w:val="0007025F"/>
    <w:rsid w:val="00073351"/>
    <w:rsid w:val="00075F89"/>
    <w:rsid w:val="0007762F"/>
    <w:rsid w:val="000811DC"/>
    <w:rsid w:val="00082E83"/>
    <w:rsid w:val="0008595F"/>
    <w:rsid w:val="0008596D"/>
    <w:rsid w:val="00091674"/>
    <w:rsid w:val="00091D8E"/>
    <w:rsid w:val="00092676"/>
    <w:rsid w:val="00092BCF"/>
    <w:rsid w:val="00097B14"/>
    <w:rsid w:val="000A2445"/>
    <w:rsid w:val="000A2D6B"/>
    <w:rsid w:val="000A34FD"/>
    <w:rsid w:val="000B2104"/>
    <w:rsid w:val="000B3602"/>
    <w:rsid w:val="000C4185"/>
    <w:rsid w:val="000C4F95"/>
    <w:rsid w:val="000C543C"/>
    <w:rsid w:val="000C7BAA"/>
    <w:rsid w:val="000D060B"/>
    <w:rsid w:val="000D0B8D"/>
    <w:rsid w:val="000D0DBC"/>
    <w:rsid w:val="000D27BC"/>
    <w:rsid w:val="000D58BD"/>
    <w:rsid w:val="000D6C9D"/>
    <w:rsid w:val="000D7939"/>
    <w:rsid w:val="000E1956"/>
    <w:rsid w:val="000E45A0"/>
    <w:rsid w:val="000E5704"/>
    <w:rsid w:val="000E6266"/>
    <w:rsid w:val="000E6EAA"/>
    <w:rsid w:val="000F0732"/>
    <w:rsid w:val="000F4D6C"/>
    <w:rsid w:val="0010155C"/>
    <w:rsid w:val="001037CE"/>
    <w:rsid w:val="00105CD2"/>
    <w:rsid w:val="0011009D"/>
    <w:rsid w:val="00110164"/>
    <w:rsid w:val="00111628"/>
    <w:rsid w:val="001116E6"/>
    <w:rsid w:val="00114F90"/>
    <w:rsid w:val="00117971"/>
    <w:rsid w:val="00117A1B"/>
    <w:rsid w:val="00120E50"/>
    <w:rsid w:val="001253D8"/>
    <w:rsid w:val="00131DF3"/>
    <w:rsid w:val="00140E0E"/>
    <w:rsid w:val="0014239F"/>
    <w:rsid w:val="00143D66"/>
    <w:rsid w:val="001445D3"/>
    <w:rsid w:val="001465D6"/>
    <w:rsid w:val="00147C59"/>
    <w:rsid w:val="00150C45"/>
    <w:rsid w:val="00156D6E"/>
    <w:rsid w:val="001576FA"/>
    <w:rsid w:val="00162DA5"/>
    <w:rsid w:val="00165173"/>
    <w:rsid w:val="00165B8A"/>
    <w:rsid w:val="00170629"/>
    <w:rsid w:val="00170C69"/>
    <w:rsid w:val="001729E1"/>
    <w:rsid w:val="001754E4"/>
    <w:rsid w:val="001845E6"/>
    <w:rsid w:val="00185DC1"/>
    <w:rsid w:val="00194F66"/>
    <w:rsid w:val="00195464"/>
    <w:rsid w:val="00195B2C"/>
    <w:rsid w:val="00197AEB"/>
    <w:rsid w:val="001A0B21"/>
    <w:rsid w:val="001A33CF"/>
    <w:rsid w:val="001A4051"/>
    <w:rsid w:val="001A7749"/>
    <w:rsid w:val="001B0341"/>
    <w:rsid w:val="001B1349"/>
    <w:rsid w:val="001B2BC6"/>
    <w:rsid w:val="001B3848"/>
    <w:rsid w:val="001C21A1"/>
    <w:rsid w:val="001C44F1"/>
    <w:rsid w:val="001C499E"/>
    <w:rsid w:val="001C5CFF"/>
    <w:rsid w:val="001C6466"/>
    <w:rsid w:val="001C68D5"/>
    <w:rsid w:val="001D0C38"/>
    <w:rsid w:val="001D2BB9"/>
    <w:rsid w:val="001D30DE"/>
    <w:rsid w:val="001D6285"/>
    <w:rsid w:val="001D754B"/>
    <w:rsid w:val="001E67EA"/>
    <w:rsid w:val="001F2C0E"/>
    <w:rsid w:val="001F4B35"/>
    <w:rsid w:val="001F628C"/>
    <w:rsid w:val="00201190"/>
    <w:rsid w:val="00202EE5"/>
    <w:rsid w:val="00203278"/>
    <w:rsid w:val="00203DAF"/>
    <w:rsid w:val="00205154"/>
    <w:rsid w:val="00211C0B"/>
    <w:rsid w:val="0021794D"/>
    <w:rsid w:val="00221027"/>
    <w:rsid w:val="00221BE4"/>
    <w:rsid w:val="00222CC4"/>
    <w:rsid w:val="00224D1B"/>
    <w:rsid w:val="0022585C"/>
    <w:rsid w:val="002259C0"/>
    <w:rsid w:val="002268DF"/>
    <w:rsid w:val="00230DB7"/>
    <w:rsid w:val="00231445"/>
    <w:rsid w:val="0023145B"/>
    <w:rsid w:val="002324D1"/>
    <w:rsid w:val="00232684"/>
    <w:rsid w:val="0023386E"/>
    <w:rsid w:val="0023495B"/>
    <w:rsid w:val="002409AF"/>
    <w:rsid w:val="00241D49"/>
    <w:rsid w:val="0024453E"/>
    <w:rsid w:val="0024685D"/>
    <w:rsid w:val="0024785F"/>
    <w:rsid w:val="00253FE8"/>
    <w:rsid w:val="00254850"/>
    <w:rsid w:val="00255857"/>
    <w:rsid w:val="00257612"/>
    <w:rsid w:val="00260230"/>
    <w:rsid w:val="0026689E"/>
    <w:rsid w:val="002718DD"/>
    <w:rsid w:val="002760D5"/>
    <w:rsid w:val="00280FBC"/>
    <w:rsid w:val="002811BF"/>
    <w:rsid w:val="00281DF0"/>
    <w:rsid w:val="00284B90"/>
    <w:rsid w:val="002873F7"/>
    <w:rsid w:val="00290805"/>
    <w:rsid w:val="00291B26"/>
    <w:rsid w:val="00295930"/>
    <w:rsid w:val="002A142D"/>
    <w:rsid w:val="002A5CB5"/>
    <w:rsid w:val="002A66C5"/>
    <w:rsid w:val="002A7735"/>
    <w:rsid w:val="002B053A"/>
    <w:rsid w:val="002C165E"/>
    <w:rsid w:val="002C4765"/>
    <w:rsid w:val="002D026C"/>
    <w:rsid w:val="002D4F3E"/>
    <w:rsid w:val="002E1213"/>
    <w:rsid w:val="002E2FD0"/>
    <w:rsid w:val="002E39B7"/>
    <w:rsid w:val="002E4271"/>
    <w:rsid w:val="002E4DFE"/>
    <w:rsid w:val="002F306F"/>
    <w:rsid w:val="002F51B5"/>
    <w:rsid w:val="002F6339"/>
    <w:rsid w:val="00301679"/>
    <w:rsid w:val="00301BB2"/>
    <w:rsid w:val="00305644"/>
    <w:rsid w:val="00305CC1"/>
    <w:rsid w:val="003072C5"/>
    <w:rsid w:val="00307C21"/>
    <w:rsid w:val="003109EF"/>
    <w:rsid w:val="003148C2"/>
    <w:rsid w:val="00315475"/>
    <w:rsid w:val="00315C63"/>
    <w:rsid w:val="003163C7"/>
    <w:rsid w:val="0033115E"/>
    <w:rsid w:val="00334A7A"/>
    <w:rsid w:val="003350B1"/>
    <w:rsid w:val="00336D40"/>
    <w:rsid w:val="003376FA"/>
    <w:rsid w:val="00343189"/>
    <w:rsid w:val="003436FB"/>
    <w:rsid w:val="00353CF2"/>
    <w:rsid w:val="00354104"/>
    <w:rsid w:val="003552B7"/>
    <w:rsid w:val="0035670E"/>
    <w:rsid w:val="003579CA"/>
    <w:rsid w:val="00357DE2"/>
    <w:rsid w:val="003640B6"/>
    <w:rsid w:val="00364D70"/>
    <w:rsid w:val="003675BF"/>
    <w:rsid w:val="003717A9"/>
    <w:rsid w:val="00371BDC"/>
    <w:rsid w:val="00373550"/>
    <w:rsid w:val="00375171"/>
    <w:rsid w:val="00375709"/>
    <w:rsid w:val="0037795E"/>
    <w:rsid w:val="00385F35"/>
    <w:rsid w:val="003863F7"/>
    <w:rsid w:val="00390E10"/>
    <w:rsid w:val="0039218E"/>
    <w:rsid w:val="003928D8"/>
    <w:rsid w:val="003937D1"/>
    <w:rsid w:val="00393B8C"/>
    <w:rsid w:val="003944B9"/>
    <w:rsid w:val="00397143"/>
    <w:rsid w:val="003A1DEA"/>
    <w:rsid w:val="003A2706"/>
    <w:rsid w:val="003A2CB9"/>
    <w:rsid w:val="003A3CE1"/>
    <w:rsid w:val="003A5067"/>
    <w:rsid w:val="003A507A"/>
    <w:rsid w:val="003B2D4C"/>
    <w:rsid w:val="003B40A4"/>
    <w:rsid w:val="003B683E"/>
    <w:rsid w:val="003B757D"/>
    <w:rsid w:val="003C160F"/>
    <w:rsid w:val="003C5C21"/>
    <w:rsid w:val="003C5C75"/>
    <w:rsid w:val="003C5E33"/>
    <w:rsid w:val="003C6237"/>
    <w:rsid w:val="003C6E22"/>
    <w:rsid w:val="003D044A"/>
    <w:rsid w:val="003D2D88"/>
    <w:rsid w:val="003D753F"/>
    <w:rsid w:val="003E11BE"/>
    <w:rsid w:val="003E5230"/>
    <w:rsid w:val="003E5C51"/>
    <w:rsid w:val="003F07BA"/>
    <w:rsid w:val="004008BC"/>
    <w:rsid w:val="00401492"/>
    <w:rsid w:val="0040157A"/>
    <w:rsid w:val="004019C5"/>
    <w:rsid w:val="00402A2E"/>
    <w:rsid w:val="0040539F"/>
    <w:rsid w:val="00406581"/>
    <w:rsid w:val="00407F7B"/>
    <w:rsid w:val="00412735"/>
    <w:rsid w:val="004129DF"/>
    <w:rsid w:val="0041377F"/>
    <w:rsid w:val="004146A6"/>
    <w:rsid w:val="00414CBA"/>
    <w:rsid w:val="0041799A"/>
    <w:rsid w:val="004210CE"/>
    <w:rsid w:val="004224AD"/>
    <w:rsid w:val="00423635"/>
    <w:rsid w:val="00424A92"/>
    <w:rsid w:val="00426BC6"/>
    <w:rsid w:val="00426E1D"/>
    <w:rsid w:val="004332C9"/>
    <w:rsid w:val="004334CF"/>
    <w:rsid w:val="004364EE"/>
    <w:rsid w:val="0043665E"/>
    <w:rsid w:val="00437985"/>
    <w:rsid w:val="00440F6F"/>
    <w:rsid w:val="00441470"/>
    <w:rsid w:val="00441EFE"/>
    <w:rsid w:val="00442CC6"/>
    <w:rsid w:val="00451031"/>
    <w:rsid w:val="00451DC0"/>
    <w:rsid w:val="00452BAA"/>
    <w:rsid w:val="004534F6"/>
    <w:rsid w:val="00455AD7"/>
    <w:rsid w:val="00457F46"/>
    <w:rsid w:val="0046043F"/>
    <w:rsid w:val="00460E3D"/>
    <w:rsid w:val="00461CA2"/>
    <w:rsid w:val="00462D40"/>
    <w:rsid w:val="0046622E"/>
    <w:rsid w:val="00466EA6"/>
    <w:rsid w:val="00471539"/>
    <w:rsid w:val="00472BC3"/>
    <w:rsid w:val="00480F10"/>
    <w:rsid w:val="00484F91"/>
    <w:rsid w:val="004871FF"/>
    <w:rsid w:val="00490155"/>
    <w:rsid w:val="004901F3"/>
    <w:rsid w:val="004922F6"/>
    <w:rsid w:val="004946F3"/>
    <w:rsid w:val="00495A9C"/>
    <w:rsid w:val="004A11FA"/>
    <w:rsid w:val="004B4591"/>
    <w:rsid w:val="004B611C"/>
    <w:rsid w:val="004C034C"/>
    <w:rsid w:val="004D6839"/>
    <w:rsid w:val="004D707B"/>
    <w:rsid w:val="004D7330"/>
    <w:rsid w:val="004D7E41"/>
    <w:rsid w:val="004E0AD2"/>
    <w:rsid w:val="004E1D0B"/>
    <w:rsid w:val="004E1F18"/>
    <w:rsid w:val="004E57EB"/>
    <w:rsid w:val="004F2EC6"/>
    <w:rsid w:val="004F434E"/>
    <w:rsid w:val="004F4406"/>
    <w:rsid w:val="004F6EA8"/>
    <w:rsid w:val="00500EAB"/>
    <w:rsid w:val="00502736"/>
    <w:rsid w:val="00510A1A"/>
    <w:rsid w:val="00514C25"/>
    <w:rsid w:val="00515BF4"/>
    <w:rsid w:val="00517F3E"/>
    <w:rsid w:val="0052108D"/>
    <w:rsid w:val="00521322"/>
    <w:rsid w:val="00524144"/>
    <w:rsid w:val="00524B01"/>
    <w:rsid w:val="00526FA1"/>
    <w:rsid w:val="005305E5"/>
    <w:rsid w:val="00535B6E"/>
    <w:rsid w:val="005364BD"/>
    <w:rsid w:val="00537465"/>
    <w:rsid w:val="00541C73"/>
    <w:rsid w:val="00543274"/>
    <w:rsid w:val="0054454E"/>
    <w:rsid w:val="00544ADA"/>
    <w:rsid w:val="00546780"/>
    <w:rsid w:val="00546BC0"/>
    <w:rsid w:val="0055517B"/>
    <w:rsid w:val="0055707F"/>
    <w:rsid w:val="0056090E"/>
    <w:rsid w:val="0056136A"/>
    <w:rsid w:val="005634EC"/>
    <w:rsid w:val="00563A95"/>
    <w:rsid w:val="00563E73"/>
    <w:rsid w:val="005653FB"/>
    <w:rsid w:val="00571164"/>
    <w:rsid w:val="00572902"/>
    <w:rsid w:val="00572F6B"/>
    <w:rsid w:val="00572FC5"/>
    <w:rsid w:val="00581C1E"/>
    <w:rsid w:val="0058276E"/>
    <w:rsid w:val="005906DA"/>
    <w:rsid w:val="00591082"/>
    <w:rsid w:val="0059595A"/>
    <w:rsid w:val="005A2189"/>
    <w:rsid w:val="005A3521"/>
    <w:rsid w:val="005A4C2C"/>
    <w:rsid w:val="005A73FF"/>
    <w:rsid w:val="005B35DE"/>
    <w:rsid w:val="005B3FF5"/>
    <w:rsid w:val="005B48C5"/>
    <w:rsid w:val="005B604B"/>
    <w:rsid w:val="005C05ED"/>
    <w:rsid w:val="005C151E"/>
    <w:rsid w:val="005C4527"/>
    <w:rsid w:val="005C48AF"/>
    <w:rsid w:val="005C5830"/>
    <w:rsid w:val="005C59B6"/>
    <w:rsid w:val="005C6B86"/>
    <w:rsid w:val="005C6F47"/>
    <w:rsid w:val="005D3248"/>
    <w:rsid w:val="005D429A"/>
    <w:rsid w:val="005D5A54"/>
    <w:rsid w:val="005D7A9E"/>
    <w:rsid w:val="005E093C"/>
    <w:rsid w:val="005E267B"/>
    <w:rsid w:val="005E31A3"/>
    <w:rsid w:val="005F47EE"/>
    <w:rsid w:val="005F4AC5"/>
    <w:rsid w:val="005F61B6"/>
    <w:rsid w:val="005F6536"/>
    <w:rsid w:val="00601ACF"/>
    <w:rsid w:val="00602C9D"/>
    <w:rsid w:val="00603774"/>
    <w:rsid w:val="00603F02"/>
    <w:rsid w:val="0060550E"/>
    <w:rsid w:val="00612E5E"/>
    <w:rsid w:val="00613CAF"/>
    <w:rsid w:val="00613F75"/>
    <w:rsid w:val="0061444F"/>
    <w:rsid w:val="00614656"/>
    <w:rsid w:val="00615A1A"/>
    <w:rsid w:val="006207C5"/>
    <w:rsid w:val="00621CC3"/>
    <w:rsid w:val="00631B52"/>
    <w:rsid w:val="00633659"/>
    <w:rsid w:val="0063460D"/>
    <w:rsid w:val="006355FC"/>
    <w:rsid w:val="00643393"/>
    <w:rsid w:val="006453A3"/>
    <w:rsid w:val="006518B5"/>
    <w:rsid w:val="00656727"/>
    <w:rsid w:val="0066066B"/>
    <w:rsid w:val="00662046"/>
    <w:rsid w:val="00663C51"/>
    <w:rsid w:val="00667A5A"/>
    <w:rsid w:val="00674EB5"/>
    <w:rsid w:val="00676A1A"/>
    <w:rsid w:val="00677D73"/>
    <w:rsid w:val="0068076C"/>
    <w:rsid w:val="00681735"/>
    <w:rsid w:val="006841A0"/>
    <w:rsid w:val="00684EEA"/>
    <w:rsid w:val="006940A5"/>
    <w:rsid w:val="006A3F5E"/>
    <w:rsid w:val="006B11D2"/>
    <w:rsid w:val="006B1A6C"/>
    <w:rsid w:val="006B224B"/>
    <w:rsid w:val="006B6015"/>
    <w:rsid w:val="006B678F"/>
    <w:rsid w:val="006B73C8"/>
    <w:rsid w:val="006B79A6"/>
    <w:rsid w:val="006C0C7F"/>
    <w:rsid w:val="006C47B4"/>
    <w:rsid w:val="006C56AC"/>
    <w:rsid w:val="006C74C1"/>
    <w:rsid w:val="006D01B0"/>
    <w:rsid w:val="006D39B3"/>
    <w:rsid w:val="006D714D"/>
    <w:rsid w:val="006E4033"/>
    <w:rsid w:val="006E68FC"/>
    <w:rsid w:val="006F0365"/>
    <w:rsid w:val="006F06B6"/>
    <w:rsid w:val="006F08E8"/>
    <w:rsid w:val="006F0A47"/>
    <w:rsid w:val="006F3B13"/>
    <w:rsid w:val="006F5268"/>
    <w:rsid w:val="006F57A0"/>
    <w:rsid w:val="006F7AA6"/>
    <w:rsid w:val="00700A82"/>
    <w:rsid w:val="00700C11"/>
    <w:rsid w:val="00701BBB"/>
    <w:rsid w:val="00703DA9"/>
    <w:rsid w:val="00705853"/>
    <w:rsid w:val="00713718"/>
    <w:rsid w:val="0071510E"/>
    <w:rsid w:val="00725510"/>
    <w:rsid w:val="00727221"/>
    <w:rsid w:val="00727F7B"/>
    <w:rsid w:val="00730137"/>
    <w:rsid w:val="0073060C"/>
    <w:rsid w:val="007372B4"/>
    <w:rsid w:val="007416E1"/>
    <w:rsid w:val="007430F0"/>
    <w:rsid w:val="007432F3"/>
    <w:rsid w:val="007531AD"/>
    <w:rsid w:val="00754DE4"/>
    <w:rsid w:val="00756592"/>
    <w:rsid w:val="00757DEB"/>
    <w:rsid w:val="00764589"/>
    <w:rsid w:val="00772D58"/>
    <w:rsid w:val="0077707A"/>
    <w:rsid w:val="007851AC"/>
    <w:rsid w:val="00792E22"/>
    <w:rsid w:val="00795757"/>
    <w:rsid w:val="007A0125"/>
    <w:rsid w:val="007A1A79"/>
    <w:rsid w:val="007A263A"/>
    <w:rsid w:val="007A65AA"/>
    <w:rsid w:val="007B2A03"/>
    <w:rsid w:val="007B34CA"/>
    <w:rsid w:val="007B508B"/>
    <w:rsid w:val="007C18E7"/>
    <w:rsid w:val="007C1CFA"/>
    <w:rsid w:val="007C2250"/>
    <w:rsid w:val="007C419C"/>
    <w:rsid w:val="007D024E"/>
    <w:rsid w:val="007D13E2"/>
    <w:rsid w:val="007E1122"/>
    <w:rsid w:val="007E1849"/>
    <w:rsid w:val="007E3A3A"/>
    <w:rsid w:val="007E610C"/>
    <w:rsid w:val="007E6A04"/>
    <w:rsid w:val="007F08E5"/>
    <w:rsid w:val="007F10FA"/>
    <w:rsid w:val="007F2265"/>
    <w:rsid w:val="007F4365"/>
    <w:rsid w:val="008000AB"/>
    <w:rsid w:val="00800629"/>
    <w:rsid w:val="00804FB0"/>
    <w:rsid w:val="008063D0"/>
    <w:rsid w:val="00806DC8"/>
    <w:rsid w:val="00816A0D"/>
    <w:rsid w:val="00816D77"/>
    <w:rsid w:val="008226AB"/>
    <w:rsid w:val="008235F8"/>
    <w:rsid w:val="00823BA6"/>
    <w:rsid w:val="00824D08"/>
    <w:rsid w:val="00833370"/>
    <w:rsid w:val="00845BA5"/>
    <w:rsid w:val="0085092C"/>
    <w:rsid w:val="0085572C"/>
    <w:rsid w:val="008570E1"/>
    <w:rsid w:val="008601D4"/>
    <w:rsid w:val="00862241"/>
    <w:rsid w:val="00862B36"/>
    <w:rsid w:val="00863B02"/>
    <w:rsid w:val="00874724"/>
    <w:rsid w:val="00883C3F"/>
    <w:rsid w:val="00884A5E"/>
    <w:rsid w:val="00887021"/>
    <w:rsid w:val="00887E34"/>
    <w:rsid w:val="008B1222"/>
    <w:rsid w:val="008B13E0"/>
    <w:rsid w:val="008B19B0"/>
    <w:rsid w:val="008B4D18"/>
    <w:rsid w:val="008B6257"/>
    <w:rsid w:val="008C1780"/>
    <w:rsid w:val="008C1C3C"/>
    <w:rsid w:val="008C1F4B"/>
    <w:rsid w:val="008C2758"/>
    <w:rsid w:val="008C3B73"/>
    <w:rsid w:val="008C4F60"/>
    <w:rsid w:val="008C6B51"/>
    <w:rsid w:val="008D4510"/>
    <w:rsid w:val="008E1685"/>
    <w:rsid w:val="008E7340"/>
    <w:rsid w:val="008F0AB6"/>
    <w:rsid w:val="008F3794"/>
    <w:rsid w:val="008F4C72"/>
    <w:rsid w:val="008F7BB1"/>
    <w:rsid w:val="0090545A"/>
    <w:rsid w:val="00905547"/>
    <w:rsid w:val="00907585"/>
    <w:rsid w:val="009152E6"/>
    <w:rsid w:val="0091651A"/>
    <w:rsid w:val="00916A07"/>
    <w:rsid w:val="00916AB1"/>
    <w:rsid w:val="00917886"/>
    <w:rsid w:val="00917B87"/>
    <w:rsid w:val="009205CD"/>
    <w:rsid w:val="0092616D"/>
    <w:rsid w:val="00926612"/>
    <w:rsid w:val="009320CB"/>
    <w:rsid w:val="00935369"/>
    <w:rsid w:val="00940077"/>
    <w:rsid w:val="009405FE"/>
    <w:rsid w:val="00940BAF"/>
    <w:rsid w:val="009416F7"/>
    <w:rsid w:val="00941775"/>
    <w:rsid w:val="00941F06"/>
    <w:rsid w:val="00946766"/>
    <w:rsid w:val="009578E9"/>
    <w:rsid w:val="009625DB"/>
    <w:rsid w:val="00964943"/>
    <w:rsid w:val="00975AE6"/>
    <w:rsid w:val="009771B1"/>
    <w:rsid w:val="009801AE"/>
    <w:rsid w:val="00984C4E"/>
    <w:rsid w:val="00987579"/>
    <w:rsid w:val="009913B3"/>
    <w:rsid w:val="00992EB4"/>
    <w:rsid w:val="00994A77"/>
    <w:rsid w:val="00996D7A"/>
    <w:rsid w:val="0099798B"/>
    <w:rsid w:val="009A0EA0"/>
    <w:rsid w:val="009A4C42"/>
    <w:rsid w:val="009A58BB"/>
    <w:rsid w:val="009A5EA3"/>
    <w:rsid w:val="009A6767"/>
    <w:rsid w:val="009A720E"/>
    <w:rsid w:val="009A7D56"/>
    <w:rsid w:val="009C0142"/>
    <w:rsid w:val="009C2A4B"/>
    <w:rsid w:val="009C6058"/>
    <w:rsid w:val="009D0CFF"/>
    <w:rsid w:val="009E107B"/>
    <w:rsid w:val="009E1854"/>
    <w:rsid w:val="009E2154"/>
    <w:rsid w:val="009E52CA"/>
    <w:rsid w:val="009F56AF"/>
    <w:rsid w:val="00A00564"/>
    <w:rsid w:val="00A023A7"/>
    <w:rsid w:val="00A04968"/>
    <w:rsid w:val="00A0529A"/>
    <w:rsid w:val="00A0648B"/>
    <w:rsid w:val="00A075AC"/>
    <w:rsid w:val="00A077D1"/>
    <w:rsid w:val="00A11780"/>
    <w:rsid w:val="00A11C02"/>
    <w:rsid w:val="00A14282"/>
    <w:rsid w:val="00A14833"/>
    <w:rsid w:val="00A1584D"/>
    <w:rsid w:val="00A16DBB"/>
    <w:rsid w:val="00A17F93"/>
    <w:rsid w:val="00A2070F"/>
    <w:rsid w:val="00A22A0B"/>
    <w:rsid w:val="00A2417D"/>
    <w:rsid w:val="00A244CF"/>
    <w:rsid w:val="00A25199"/>
    <w:rsid w:val="00A258C7"/>
    <w:rsid w:val="00A266E6"/>
    <w:rsid w:val="00A3696E"/>
    <w:rsid w:val="00A37C5D"/>
    <w:rsid w:val="00A40DC2"/>
    <w:rsid w:val="00A5058B"/>
    <w:rsid w:val="00A507F1"/>
    <w:rsid w:val="00A52F2E"/>
    <w:rsid w:val="00A53665"/>
    <w:rsid w:val="00A53EA4"/>
    <w:rsid w:val="00A541B9"/>
    <w:rsid w:val="00A56185"/>
    <w:rsid w:val="00A566E0"/>
    <w:rsid w:val="00A61D86"/>
    <w:rsid w:val="00A628D9"/>
    <w:rsid w:val="00A6301B"/>
    <w:rsid w:val="00A707FC"/>
    <w:rsid w:val="00A709E0"/>
    <w:rsid w:val="00A77957"/>
    <w:rsid w:val="00A800D5"/>
    <w:rsid w:val="00A8289A"/>
    <w:rsid w:val="00A830BE"/>
    <w:rsid w:val="00A83D5D"/>
    <w:rsid w:val="00A83E3C"/>
    <w:rsid w:val="00A848C6"/>
    <w:rsid w:val="00A84ACA"/>
    <w:rsid w:val="00A85692"/>
    <w:rsid w:val="00A859DD"/>
    <w:rsid w:val="00A868E2"/>
    <w:rsid w:val="00A90093"/>
    <w:rsid w:val="00A90716"/>
    <w:rsid w:val="00A94A5E"/>
    <w:rsid w:val="00A9720C"/>
    <w:rsid w:val="00AA3466"/>
    <w:rsid w:val="00AA3AAD"/>
    <w:rsid w:val="00AA4476"/>
    <w:rsid w:val="00AA4B83"/>
    <w:rsid w:val="00AB1390"/>
    <w:rsid w:val="00AB2F33"/>
    <w:rsid w:val="00AB440F"/>
    <w:rsid w:val="00AB5145"/>
    <w:rsid w:val="00AB592D"/>
    <w:rsid w:val="00AC1CC2"/>
    <w:rsid w:val="00AC56E6"/>
    <w:rsid w:val="00AC7592"/>
    <w:rsid w:val="00AD13C2"/>
    <w:rsid w:val="00AD1815"/>
    <w:rsid w:val="00AD27F3"/>
    <w:rsid w:val="00AD287C"/>
    <w:rsid w:val="00AD4C53"/>
    <w:rsid w:val="00AE19A8"/>
    <w:rsid w:val="00AE40A2"/>
    <w:rsid w:val="00AE5541"/>
    <w:rsid w:val="00AF1CA2"/>
    <w:rsid w:val="00AF242E"/>
    <w:rsid w:val="00AF5C0B"/>
    <w:rsid w:val="00B036F6"/>
    <w:rsid w:val="00B04A65"/>
    <w:rsid w:val="00B05C77"/>
    <w:rsid w:val="00B12449"/>
    <w:rsid w:val="00B15060"/>
    <w:rsid w:val="00B1565F"/>
    <w:rsid w:val="00B22B67"/>
    <w:rsid w:val="00B30B71"/>
    <w:rsid w:val="00B33529"/>
    <w:rsid w:val="00B34540"/>
    <w:rsid w:val="00B375F1"/>
    <w:rsid w:val="00B3766A"/>
    <w:rsid w:val="00B41867"/>
    <w:rsid w:val="00B51BC1"/>
    <w:rsid w:val="00B56721"/>
    <w:rsid w:val="00B577A1"/>
    <w:rsid w:val="00B6292E"/>
    <w:rsid w:val="00B663FF"/>
    <w:rsid w:val="00B70733"/>
    <w:rsid w:val="00B713E8"/>
    <w:rsid w:val="00B726CD"/>
    <w:rsid w:val="00B772E2"/>
    <w:rsid w:val="00B85FA2"/>
    <w:rsid w:val="00B86619"/>
    <w:rsid w:val="00B9123C"/>
    <w:rsid w:val="00B9483B"/>
    <w:rsid w:val="00B94BA6"/>
    <w:rsid w:val="00B952E1"/>
    <w:rsid w:val="00B96195"/>
    <w:rsid w:val="00B96926"/>
    <w:rsid w:val="00BA3CCA"/>
    <w:rsid w:val="00BA4B40"/>
    <w:rsid w:val="00BB010A"/>
    <w:rsid w:val="00BB0D67"/>
    <w:rsid w:val="00BB5D1B"/>
    <w:rsid w:val="00BC019A"/>
    <w:rsid w:val="00BC0BAF"/>
    <w:rsid w:val="00BC26AE"/>
    <w:rsid w:val="00BC7149"/>
    <w:rsid w:val="00BD7B1A"/>
    <w:rsid w:val="00BE3E4B"/>
    <w:rsid w:val="00BE59A3"/>
    <w:rsid w:val="00BE6362"/>
    <w:rsid w:val="00BE725C"/>
    <w:rsid w:val="00BF0E50"/>
    <w:rsid w:val="00BF4A52"/>
    <w:rsid w:val="00C05D68"/>
    <w:rsid w:val="00C0622D"/>
    <w:rsid w:val="00C069F4"/>
    <w:rsid w:val="00C07B3D"/>
    <w:rsid w:val="00C11537"/>
    <w:rsid w:val="00C11B79"/>
    <w:rsid w:val="00C14911"/>
    <w:rsid w:val="00C1655D"/>
    <w:rsid w:val="00C202C2"/>
    <w:rsid w:val="00C2098C"/>
    <w:rsid w:val="00C20EE0"/>
    <w:rsid w:val="00C27273"/>
    <w:rsid w:val="00C27334"/>
    <w:rsid w:val="00C31E1C"/>
    <w:rsid w:val="00C35114"/>
    <w:rsid w:val="00C35767"/>
    <w:rsid w:val="00C377C7"/>
    <w:rsid w:val="00C404B7"/>
    <w:rsid w:val="00C44FE7"/>
    <w:rsid w:val="00C4683A"/>
    <w:rsid w:val="00C468DE"/>
    <w:rsid w:val="00C50E2E"/>
    <w:rsid w:val="00C5472F"/>
    <w:rsid w:val="00C56175"/>
    <w:rsid w:val="00C60DA0"/>
    <w:rsid w:val="00C61A84"/>
    <w:rsid w:val="00C62BAF"/>
    <w:rsid w:val="00C66839"/>
    <w:rsid w:val="00C66BD6"/>
    <w:rsid w:val="00C70380"/>
    <w:rsid w:val="00C718A9"/>
    <w:rsid w:val="00C7190D"/>
    <w:rsid w:val="00C7262C"/>
    <w:rsid w:val="00C7446E"/>
    <w:rsid w:val="00C74DEA"/>
    <w:rsid w:val="00C77E82"/>
    <w:rsid w:val="00C85312"/>
    <w:rsid w:val="00C91B37"/>
    <w:rsid w:val="00C93AEE"/>
    <w:rsid w:val="00C9717C"/>
    <w:rsid w:val="00C974E2"/>
    <w:rsid w:val="00C977B3"/>
    <w:rsid w:val="00CA0385"/>
    <w:rsid w:val="00CA22C1"/>
    <w:rsid w:val="00CA3624"/>
    <w:rsid w:val="00CA5D44"/>
    <w:rsid w:val="00CA6BAF"/>
    <w:rsid w:val="00CB0817"/>
    <w:rsid w:val="00CB09F5"/>
    <w:rsid w:val="00CB0EBE"/>
    <w:rsid w:val="00CB1855"/>
    <w:rsid w:val="00CB504F"/>
    <w:rsid w:val="00CB6FC3"/>
    <w:rsid w:val="00CB7C40"/>
    <w:rsid w:val="00CC5FED"/>
    <w:rsid w:val="00CC6947"/>
    <w:rsid w:val="00CC7AA5"/>
    <w:rsid w:val="00CD2077"/>
    <w:rsid w:val="00CD2E64"/>
    <w:rsid w:val="00CD2F8A"/>
    <w:rsid w:val="00CD300B"/>
    <w:rsid w:val="00CD3CEB"/>
    <w:rsid w:val="00CD61DB"/>
    <w:rsid w:val="00CE078A"/>
    <w:rsid w:val="00CE263C"/>
    <w:rsid w:val="00CE59C2"/>
    <w:rsid w:val="00CE7398"/>
    <w:rsid w:val="00CF035F"/>
    <w:rsid w:val="00CF2362"/>
    <w:rsid w:val="00CF405D"/>
    <w:rsid w:val="00CF4732"/>
    <w:rsid w:val="00CF54CB"/>
    <w:rsid w:val="00D03E3D"/>
    <w:rsid w:val="00D074A5"/>
    <w:rsid w:val="00D1256A"/>
    <w:rsid w:val="00D12B88"/>
    <w:rsid w:val="00D1326B"/>
    <w:rsid w:val="00D13997"/>
    <w:rsid w:val="00D13C7F"/>
    <w:rsid w:val="00D17BAF"/>
    <w:rsid w:val="00D2023C"/>
    <w:rsid w:val="00D2150F"/>
    <w:rsid w:val="00D21A98"/>
    <w:rsid w:val="00D23889"/>
    <w:rsid w:val="00D257FA"/>
    <w:rsid w:val="00D335EC"/>
    <w:rsid w:val="00D34C85"/>
    <w:rsid w:val="00D35AC6"/>
    <w:rsid w:val="00D37280"/>
    <w:rsid w:val="00D42CB5"/>
    <w:rsid w:val="00D448C5"/>
    <w:rsid w:val="00D45D88"/>
    <w:rsid w:val="00D47491"/>
    <w:rsid w:val="00D47D84"/>
    <w:rsid w:val="00D53C84"/>
    <w:rsid w:val="00D55080"/>
    <w:rsid w:val="00D57096"/>
    <w:rsid w:val="00D579E7"/>
    <w:rsid w:val="00D647BE"/>
    <w:rsid w:val="00D65B36"/>
    <w:rsid w:val="00D669C0"/>
    <w:rsid w:val="00D70E18"/>
    <w:rsid w:val="00D711D3"/>
    <w:rsid w:val="00D72D2B"/>
    <w:rsid w:val="00D760B8"/>
    <w:rsid w:val="00D7725D"/>
    <w:rsid w:val="00D808C0"/>
    <w:rsid w:val="00D858C3"/>
    <w:rsid w:val="00D8654D"/>
    <w:rsid w:val="00D91495"/>
    <w:rsid w:val="00D94D73"/>
    <w:rsid w:val="00DA11A9"/>
    <w:rsid w:val="00DA4031"/>
    <w:rsid w:val="00DA7EA6"/>
    <w:rsid w:val="00DA7EBD"/>
    <w:rsid w:val="00DB1387"/>
    <w:rsid w:val="00DB4E6C"/>
    <w:rsid w:val="00DB5C35"/>
    <w:rsid w:val="00DB7FAC"/>
    <w:rsid w:val="00DC0A4B"/>
    <w:rsid w:val="00DC0B01"/>
    <w:rsid w:val="00DC23DD"/>
    <w:rsid w:val="00DC2F48"/>
    <w:rsid w:val="00DC3E8E"/>
    <w:rsid w:val="00DC4D3D"/>
    <w:rsid w:val="00DD5117"/>
    <w:rsid w:val="00DD6DF3"/>
    <w:rsid w:val="00DE1D87"/>
    <w:rsid w:val="00DE59AA"/>
    <w:rsid w:val="00DE6485"/>
    <w:rsid w:val="00DE7321"/>
    <w:rsid w:val="00DF1159"/>
    <w:rsid w:val="00DF3DA8"/>
    <w:rsid w:val="00DF4BE7"/>
    <w:rsid w:val="00DF529B"/>
    <w:rsid w:val="00DF5491"/>
    <w:rsid w:val="00DF6E2D"/>
    <w:rsid w:val="00E01699"/>
    <w:rsid w:val="00E0663C"/>
    <w:rsid w:val="00E1181D"/>
    <w:rsid w:val="00E14A2D"/>
    <w:rsid w:val="00E16153"/>
    <w:rsid w:val="00E21FE8"/>
    <w:rsid w:val="00E24CBD"/>
    <w:rsid w:val="00E24D30"/>
    <w:rsid w:val="00E30307"/>
    <w:rsid w:val="00E418B4"/>
    <w:rsid w:val="00E42051"/>
    <w:rsid w:val="00E430B7"/>
    <w:rsid w:val="00E4565E"/>
    <w:rsid w:val="00E45F84"/>
    <w:rsid w:val="00E50693"/>
    <w:rsid w:val="00E52031"/>
    <w:rsid w:val="00E53654"/>
    <w:rsid w:val="00E5371A"/>
    <w:rsid w:val="00E54D4E"/>
    <w:rsid w:val="00E56368"/>
    <w:rsid w:val="00E60579"/>
    <w:rsid w:val="00E620D1"/>
    <w:rsid w:val="00E63F40"/>
    <w:rsid w:val="00E656AE"/>
    <w:rsid w:val="00E67524"/>
    <w:rsid w:val="00E67A28"/>
    <w:rsid w:val="00E706F8"/>
    <w:rsid w:val="00E74946"/>
    <w:rsid w:val="00E754BD"/>
    <w:rsid w:val="00E76865"/>
    <w:rsid w:val="00E7750C"/>
    <w:rsid w:val="00E80FC4"/>
    <w:rsid w:val="00E813DE"/>
    <w:rsid w:val="00E829BD"/>
    <w:rsid w:val="00E82D37"/>
    <w:rsid w:val="00E8443A"/>
    <w:rsid w:val="00E8621D"/>
    <w:rsid w:val="00E8783A"/>
    <w:rsid w:val="00E87FCC"/>
    <w:rsid w:val="00E900B5"/>
    <w:rsid w:val="00E9052F"/>
    <w:rsid w:val="00E954BB"/>
    <w:rsid w:val="00E96547"/>
    <w:rsid w:val="00EA0B58"/>
    <w:rsid w:val="00EA1517"/>
    <w:rsid w:val="00EA320C"/>
    <w:rsid w:val="00EA4C38"/>
    <w:rsid w:val="00EA5892"/>
    <w:rsid w:val="00EA69A7"/>
    <w:rsid w:val="00EA6D3C"/>
    <w:rsid w:val="00EB36FD"/>
    <w:rsid w:val="00EC005C"/>
    <w:rsid w:val="00EC0140"/>
    <w:rsid w:val="00EC3355"/>
    <w:rsid w:val="00EC3C1D"/>
    <w:rsid w:val="00EC6968"/>
    <w:rsid w:val="00ED5268"/>
    <w:rsid w:val="00ED7A86"/>
    <w:rsid w:val="00ED7D78"/>
    <w:rsid w:val="00EE0E58"/>
    <w:rsid w:val="00EE2670"/>
    <w:rsid w:val="00EE5246"/>
    <w:rsid w:val="00EE5344"/>
    <w:rsid w:val="00EE593A"/>
    <w:rsid w:val="00EE5BF2"/>
    <w:rsid w:val="00EE635F"/>
    <w:rsid w:val="00EE63CB"/>
    <w:rsid w:val="00EE6845"/>
    <w:rsid w:val="00EE7A2E"/>
    <w:rsid w:val="00EE7B30"/>
    <w:rsid w:val="00EF25EE"/>
    <w:rsid w:val="00EF2752"/>
    <w:rsid w:val="00EF556C"/>
    <w:rsid w:val="00EF5CFF"/>
    <w:rsid w:val="00EF7F14"/>
    <w:rsid w:val="00F00BF7"/>
    <w:rsid w:val="00F014BE"/>
    <w:rsid w:val="00F0251A"/>
    <w:rsid w:val="00F11DB0"/>
    <w:rsid w:val="00F135BD"/>
    <w:rsid w:val="00F16471"/>
    <w:rsid w:val="00F201C2"/>
    <w:rsid w:val="00F2248C"/>
    <w:rsid w:val="00F24220"/>
    <w:rsid w:val="00F24566"/>
    <w:rsid w:val="00F25CBA"/>
    <w:rsid w:val="00F27804"/>
    <w:rsid w:val="00F3331B"/>
    <w:rsid w:val="00F336E5"/>
    <w:rsid w:val="00F43369"/>
    <w:rsid w:val="00F43F5A"/>
    <w:rsid w:val="00F44CFD"/>
    <w:rsid w:val="00F45674"/>
    <w:rsid w:val="00F46F56"/>
    <w:rsid w:val="00F5093F"/>
    <w:rsid w:val="00F51071"/>
    <w:rsid w:val="00F56E5A"/>
    <w:rsid w:val="00F57739"/>
    <w:rsid w:val="00F57C42"/>
    <w:rsid w:val="00F60695"/>
    <w:rsid w:val="00F63D08"/>
    <w:rsid w:val="00F65273"/>
    <w:rsid w:val="00F661B1"/>
    <w:rsid w:val="00F66BCF"/>
    <w:rsid w:val="00F76960"/>
    <w:rsid w:val="00F774B6"/>
    <w:rsid w:val="00F8004D"/>
    <w:rsid w:val="00F80E26"/>
    <w:rsid w:val="00F8130A"/>
    <w:rsid w:val="00F81406"/>
    <w:rsid w:val="00F8252E"/>
    <w:rsid w:val="00F82C97"/>
    <w:rsid w:val="00F928CD"/>
    <w:rsid w:val="00F92C67"/>
    <w:rsid w:val="00F93247"/>
    <w:rsid w:val="00F95626"/>
    <w:rsid w:val="00FA39E0"/>
    <w:rsid w:val="00FB1F16"/>
    <w:rsid w:val="00FB4A18"/>
    <w:rsid w:val="00FB6619"/>
    <w:rsid w:val="00FB6B0E"/>
    <w:rsid w:val="00FB6D01"/>
    <w:rsid w:val="00FB7644"/>
    <w:rsid w:val="00FC07F6"/>
    <w:rsid w:val="00FC2A4C"/>
    <w:rsid w:val="00FD1718"/>
    <w:rsid w:val="00FD35FE"/>
    <w:rsid w:val="00FD3743"/>
    <w:rsid w:val="00FD4FFE"/>
    <w:rsid w:val="00FD7701"/>
    <w:rsid w:val="00FE3485"/>
    <w:rsid w:val="00FE3A4B"/>
    <w:rsid w:val="00FE40DA"/>
    <w:rsid w:val="00FE45FD"/>
    <w:rsid w:val="00FF2F46"/>
    <w:rsid w:val="00FF44B3"/>
    <w:rsid w:val="00FF53D0"/>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7FD47CFD"/>
  <w15:chartTrackingRefBased/>
  <w15:docId w15:val="{C20F2EE4-5AAF-44BF-BEBF-4CBD52E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qFormat/>
    <w:rsid w:val="00461CA2"/>
    <w:pPr>
      <w:keepNext/>
      <w:spacing w:before="240" w:after="60"/>
      <w:outlineLvl w:val="1"/>
    </w:pPr>
    <w:rPr>
      <w:b/>
      <w:bCs/>
      <w:i/>
      <w:iCs/>
      <w:sz w:val="28"/>
      <w:szCs w:val="28"/>
    </w:rPr>
  </w:style>
  <w:style w:type="paragraph" w:styleId="Heading3">
    <w:name w:val="heading 3"/>
    <w:basedOn w:val="Normal"/>
    <w:next w:val="Normal"/>
    <w:qFormat/>
    <w:rsid w:val="00730137"/>
    <w:pPr>
      <w:keepNext/>
      <w:spacing w:before="240" w:after="60"/>
      <w:outlineLvl w:val="2"/>
    </w:pPr>
    <w:rPr>
      <w:rFonts w:cs="Times New Roman"/>
      <w:szCs w:val="20"/>
    </w:rPr>
  </w:style>
  <w:style w:type="paragraph" w:styleId="Heading4">
    <w:name w:val="heading 4"/>
    <w:basedOn w:val="Normal"/>
    <w:next w:val="Normal"/>
    <w:qFormat/>
    <w:rsid w:val="00730137"/>
    <w:pPr>
      <w:keepNext/>
      <w:spacing w:before="240" w:after="60"/>
      <w:outlineLvl w:val="3"/>
    </w:pPr>
    <w:rPr>
      <w:rFonts w:cs="Times New Roman"/>
      <w:b/>
      <w:szCs w:val="20"/>
    </w:rPr>
  </w:style>
  <w:style w:type="paragraph" w:styleId="Heading5">
    <w:name w:val="heading 5"/>
    <w:basedOn w:val="Normal"/>
    <w:next w:val="Normal"/>
    <w:qFormat/>
    <w:rsid w:val="00730137"/>
    <w:pPr>
      <w:keepNext/>
      <w:ind w:firstLine="709"/>
      <w:outlineLvl w:val="4"/>
    </w:pPr>
    <w:rPr>
      <w:rFonts w:ascii="Times New Roman" w:hAnsi="Times New Roman" w:cs="Times New Roman"/>
      <w:b/>
      <w:szCs w:val="20"/>
    </w:rPr>
  </w:style>
  <w:style w:type="paragraph" w:styleId="Heading8">
    <w:name w:val="heading 8"/>
    <w:basedOn w:val="Normal"/>
    <w:next w:val="Normal"/>
    <w:qFormat/>
    <w:rsid w:val="00D70E18"/>
    <w:pPr>
      <w:spacing w:before="240" w:after="60"/>
      <w:outlineLvl w:val="7"/>
    </w:pPr>
    <w:rPr>
      <w:rFonts w:ascii="Times New Roman" w:hAnsi="Times New Roman" w:cs="Times New Roman"/>
      <w:i/>
      <w:iCs/>
    </w:rPr>
  </w:style>
  <w:style w:type="paragraph" w:styleId="Heading9">
    <w:name w:val="heading 9"/>
    <w:basedOn w:val="Normal"/>
    <w:next w:val="Normal"/>
    <w:qFormat/>
    <w:rsid w:val="007E610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30137"/>
    <w:rPr>
      <w:rFonts w:ascii="Courier New" w:hAnsi="Courier New" w:cs="Times New Roman"/>
      <w:sz w:val="20"/>
      <w:szCs w:val="20"/>
    </w:rPr>
  </w:style>
  <w:style w:type="paragraph" w:styleId="BodyTextIndent">
    <w:name w:val="Body Text Indent"/>
    <w:basedOn w:val="Normal"/>
    <w:rsid w:val="00730137"/>
    <w:pPr>
      <w:ind w:left="720" w:hanging="720"/>
      <w:jc w:val="both"/>
    </w:pPr>
    <w:rPr>
      <w:rFonts w:ascii="Times New Roman" w:hAnsi="Times New Roman" w:cs="Times New Roman"/>
      <w:szCs w:val="20"/>
    </w:rPr>
  </w:style>
  <w:style w:type="paragraph" w:styleId="BodyText">
    <w:name w:val="Body Text"/>
    <w:basedOn w:val="Normal"/>
    <w:rsid w:val="00730137"/>
    <w:pPr>
      <w:jc w:val="both"/>
    </w:pPr>
    <w:rPr>
      <w:rFonts w:ascii="Times New Roman" w:hAnsi="Times New Roman" w:cs="Times New Roman"/>
      <w:szCs w:val="20"/>
    </w:rPr>
  </w:style>
  <w:style w:type="character" w:styleId="FootnoteReference">
    <w:name w:val="footnote reference"/>
    <w:basedOn w:val="DefaultParagraphFont"/>
    <w:semiHidden/>
    <w:rsid w:val="00730137"/>
    <w:rPr>
      <w:rFonts w:ascii="Arial" w:hAnsi="Arial"/>
      <w:sz w:val="20"/>
      <w:vertAlign w:val="superscript"/>
    </w:rPr>
  </w:style>
  <w:style w:type="paragraph" w:styleId="FootnoteText">
    <w:name w:val="footnote text"/>
    <w:basedOn w:val="Normal"/>
    <w:semiHidden/>
    <w:rsid w:val="00730137"/>
    <w:rPr>
      <w:rFonts w:ascii="Times New Roman" w:hAnsi="Times New Roman" w:cs="Times New Roman"/>
      <w:sz w:val="20"/>
      <w:szCs w:val="20"/>
    </w:rPr>
  </w:style>
  <w:style w:type="paragraph" w:styleId="Header">
    <w:name w:val="header"/>
    <w:basedOn w:val="Normal"/>
    <w:rsid w:val="00461CA2"/>
    <w:pPr>
      <w:tabs>
        <w:tab w:val="center" w:pos="4153"/>
        <w:tab w:val="right" w:pos="8306"/>
      </w:tabs>
    </w:pPr>
  </w:style>
  <w:style w:type="paragraph" w:styleId="Date">
    <w:name w:val="Date"/>
    <w:basedOn w:val="Normal"/>
    <w:next w:val="Normal"/>
    <w:rsid w:val="00EF556C"/>
    <w:rPr>
      <w:rFonts w:ascii="Times New Roman" w:hAnsi="Times New Roman" w:cs="Times New Roman"/>
      <w:szCs w:val="20"/>
    </w:rPr>
  </w:style>
  <w:style w:type="paragraph" w:styleId="Footer">
    <w:name w:val="footer"/>
    <w:basedOn w:val="Normal"/>
    <w:rsid w:val="00EF556C"/>
    <w:pPr>
      <w:tabs>
        <w:tab w:val="center" w:pos="4153"/>
        <w:tab w:val="right" w:pos="8306"/>
      </w:tabs>
    </w:pPr>
  </w:style>
  <w:style w:type="character" w:styleId="PageNumber">
    <w:name w:val="page number"/>
    <w:basedOn w:val="DefaultParagraphFont"/>
    <w:rsid w:val="00EF556C"/>
  </w:style>
  <w:style w:type="table" w:styleId="TableGrid">
    <w:name w:val="Table Grid"/>
    <w:basedOn w:val="TableNormal"/>
    <w:rsid w:val="00E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rsid w:val="00B33529"/>
    <w:pPr>
      <w:ind w:left="720"/>
    </w:pPr>
  </w:style>
  <w:style w:type="paragraph" w:customStyle="1" w:styleId="msolistparagraph0">
    <w:name w:val="msolistparagraph"/>
    <w:basedOn w:val="Normal"/>
    <w:rsid w:val="004146A6"/>
    <w:pPr>
      <w:ind w:left="720"/>
    </w:pPr>
    <w:rPr>
      <w:rFonts w:ascii="Calibri" w:eastAsia="Calibri" w:hAnsi="Calibri" w:cs="Times New Roman"/>
      <w:sz w:val="22"/>
      <w:szCs w:val="22"/>
      <w:lang w:eastAsia="en-US"/>
    </w:rPr>
  </w:style>
  <w:style w:type="paragraph" w:styleId="BalloonText">
    <w:name w:val="Balloon Text"/>
    <w:basedOn w:val="Normal"/>
    <w:link w:val="BalloonTextChar"/>
    <w:rsid w:val="00BD7B1A"/>
    <w:rPr>
      <w:rFonts w:ascii="Segoe UI" w:hAnsi="Segoe UI" w:cs="Segoe UI"/>
      <w:sz w:val="18"/>
      <w:szCs w:val="18"/>
    </w:rPr>
  </w:style>
  <w:style w:type="character" w:customStyle="1" w:styleId="BalloonTextChar">
    <w:name w:val="Balloon Text Char"/>
    <w:basedOn w:val="DefaultParagraphFont"/>
    <w:link w:val="BalloonText"/>
    <w:rsid w:val="00BD7B1A"/>
    <w:rPr>
      <w:rFonts w:ascii="Segoe UI" w:hAnsi="Segoe UI" w:cs="Segoe UI"/>
      <w:sz w:val="18"/>
      <w:szCs w:val="18"/>
    </w:rPr>
  </w:style>
  <w:style w:type="paragraph" w:styleId="NoSpacing">
    <w:name w:val="No Spacing"/>
    <w:uiPriority w:val="1"/>
    <w:qFormat/>
    <w:rsid w:val="00EA320C"/>
    <w:rPr>
      <w:rFonts w:ascii="Calibri" w:eastAsia="Calibri" w:hAnsi="Calibri"/>
      <w:sz w:val="22"/>
      <w:szCs w:val="22"/>
      <w:lang w:eastAsia="en-US"/>
    </w:rPr>
  </w:style>
  <w:style w:type="paragraph" w:customStyle="1" w:styleId="Default">
    <w:name w:val="Default"/>
    <w:basedOn w:val="Normal"/>
    <w:rsid w:val="00E4565E"/>
    <w:pPr>
      <w:autoSpaceDE w:val="0"/>
      <w:autoSpaceDN w:val="0"/>
    </w:pPr>
    <w:rPr>
      <w:rFonts w:ascii="Calibri" w:eastAsia="Calibri" w:hAnsi="Calibri" w:cs="Times New Roman"/>
      <w:color w:val="000000"/>
      <w:lang w:eastAsia="en-US"/>
    </w:rPr>
  </w:style>
  <w:style w:type="paragraph" w:styleId="NormalWeb">
    <w:name w:val="Normal (Web)"/>
    <w:basedOn w:val="Normal"/>
    <w:uiPriority w:val="99"/>
    <w:unhideWhenUsed/>
    <w:rsid w:val="00713718"/>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764589"/>
    <w:rPr>
      <w:rFonts w:ascii="Arial" w:hAnsi="Arial" w:cs="Arial"/>
      <w:sz w:val="24"/>
      <w:szCs w:val="24"/>
    </w:rPr>
  </w:style>
  <w:style w:type="table" w:styleId="ListTable3-Accent5">
    <w:name w:val="List Table 3 Accent 5"/>
    <w:basedOn w:val="TableNormal"/>
    <w:uiPriority w:val="48"/>
    <w:rsid w:val="00764589"/>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946">
      <w:bodyDiv w:val="1"/>
      <w:marLeft w:val="0"/>
      <w:marRight w:val="0"/>
      <w:marTop w:val="0"/>
      <w:marBottom w:val="0"/>
      <w:divBdr>
        <w:top w:val="none" w:sz="0" w:space="0" w:color="auto"/>
        <w:left w:val="none" w:sz="0" w:space="0" w:color="auto"/>
        <w:bottom w:val="none" w:sz="0" w:space="0" w:color="auto"/>
        <w:right w:val="none" w:sz="0" w:space="0" w:color="auto"/>
      </w:divBdr>
    </w:div>
    <w:div w:id="200749846">
      <w:bodyDiv w:val="1"/>
      <w:marLeft w:val="0"/>
      <w:marRight w:val="0"/>
      <w:marTop w:val="0"/>
      <w:marBottom w:val="0"/>
      <w:divBdr>
        <w:top w:val="none" w:sz="0" w:space="0" w:color="auto"/>
        <w:left w:val="none" w:sz="0" w:space="0" w:color="auto"/>
        <w:bottom w:val="none" w:sz="0" w:space="0" w:color="auto"/>
        <w:right w:val="none" w:sz="0" w:space="0" w:color="auto"/>
      </w:divBdr>
    </w:div>
    <w:div w:id="490144368">
      <w:bodyDiv w:val="1"/>
      <w:marLeft w:val="0"/>
      <w:marRight w:val="0"/>
      <w:marTop w:val="0"/>
      <w:marBottom w:val="0"/>
      <w:divBdr>
        <w:top w:val="none" w:sz="0" w:space="0" w:color="auto"/>
        <w:left w:val="none" w:sz="0" w:space="0" w:color="auto"/>
        <w:bottom w:val="none" w:sz="0" w:space="0" w:color="auto"/>
        <w:right w:val="none" w:sz="0" w:space="0" w:color="auto"/>
      </w:divBdr>
    </w:div>
    <w:div w:id="518324362">
      <w:bodyDiv w:val="1"/>
      <w:marLeft w:val="0"/>
      <w:marRight w:val="0"/>
      <w:marTop w:val="0"/>
      <w:marBottom w:val="0"/>
      <w:divBdr>
        <w:top w:val="none" w:sz="0" w:space="0" w:color="auto"/>
        <w:left w:val="none" w:sz="0" w:space="0" w:color="auto"/>
        <w:bottom w:val="none" w:sz="0" w:space="0" w:color="auto"/>
        <w:right w:val="none" w:sz="0" w:space="0" w:color="auto"/>
      </w:divBdr>
    </w:div>
    <w:div w:id="562064887">
      <w:bodyDiv w:val="1"/>
      <w:marLeft w:val="0"/>
      <w:marRight w:val="0"/>
      <w:marTop w:val="0"/>
      <w:marBottom w:val="0"/>
      <w:divBdr>
        <w:top w:val="none" w:sz="0" w:space="0" w:color="auto"/>
        <w:left w:val="none" w:sz="0" w:space="0" w:color="auto"/>
        <w:bottom w:val="none" w:sz="0" w:space="0" w:color="auto"/>
        <w:right w:val="none" w:sz="0" w:space="0" w:color="auto"/>
      </w:divBdr>
    </w:div>
    <w:div w:id="605039022">
      <w:bodyDiv w:val="1"/>
      <w:marLeft w:val="0"/>
      <w:marRight w:val="0"/>
      <w:marTop w:val="0"/>
      <w:marBottom w:val="0"/>
      <w:divBdr>
        <w:top w:val="none" w:sz="0" w:space="0" w:color="auto"/>
        <w:left w:val="none" w:sz="0" w:space="0" w:color="auto"/>
        <w:bottom w:val="none" w:sz="0" w:space="0" w:color="auto"/>
        <w:right w:val="none" w:sz="0" w:space="0" w:color="auto"/>
      </w:divBdr>
    </w:div>
    <w:div w:id="675110499">
      <w:bodyDiv w:val="1"/>
      <w:marLeft w:val="0"/>
      <w:marRight w:val="0"/>
      <w:marTop w:val="0"/>
      <w:marBottom w:val="0"/>
      <w:divBdr>
        <w:top w:val="none" w:sz="0" w:space="0" w:color="auto"/>
        <w:left w:val="none" w:sz="0" w:space="0" w:color="auto"/>
        <w:bottom w:val="none" w:sz="0" w:space="0" w:color="auto"/>
        <w:right w:val="none" w:sz="0" w:space="0" w:color="auto"/>
      </w:divBdr>
    </w:div>
    <w:div w:id="856163417">
      <w:bodyDiv w:val="1"/>
      <w:marLeft w:val="0"/>
      <w:marRight w:val="0"/>
      <w:marTop w:val="0"/>
      <w:marBottom w:val="0"/>
      <w:divBdr>
        <w:top w:val="none" w:sz="0" w:space="0" w:color="auto"/>
        <w:left w:val="none" w:sz="0" w:space="0" w:color="auto"/>
        <w:bottom w:val="none" w:sz="0" w:space="0" w:color="auto"/>
        <w:right w:val="none" w:sz="0" w:space="0" w:color="auto"/>
      </w:divBdr>
    </w:div>
    <w:div w:id="912272691">
      <w:bodyDiv w:val="1"/>
      <w:marLeft w:val="0"/>
      <w:marRight w:val="0"/>
      <w:marTop w:val="0"/>
      <w:marBottom w:val="0"/>
      <w:divBdr>
        <w:top w:val="none" w:sz="0" w:space="0" w:color="auto"/>
        <w:left w:val="none" w:sz="0" w:space="0" w:color="auto"/>
        <w:bottom w:val="none" w:sz="0" w:space="0" w:color="auto"/>
        <w:right w:val="none" w:sz="0" w:space="0" w:color="auto"/>
      </w:divBdr>
    </w:div>
    <w:div w:id="1026254857">
      <w:bodyDiv w:val="1"/>
      <w:marLeft w:val="0"/>
      <w:marRight w:val="0"/>
      <w:marTop w:val="0"/>
      <w:marBottom w:val="0"/>
      <w:divBdr>
        <w:top w:val="none" w:sz="0" w:space="0" w:color="auto"/>
        <w:left w:val="none" w:sz="0" w:space="0" w:color="auto"/>
        <w:bottom w:val="none" w:sz="0" w:space="0" w:color="auto"/>
        <w:right w:val="none" w:sz="0" w:space="0" w:color="auto"/>
      </w:divBdr>
    </w:div>
    <w:div w:id="1469471353">
      <w:bodyDiv w:val="1"/>
      <w:marLeft w:val="0"/>
      <w:marRight w:val="0"/>
      <w:marTop w:val="0"/>
      <w:marBottom w:val="0"/>
      <w:divBdr>
        <w:top w:val="none" w:sz="0" w:space="0" w:color="auto"/>
        <w:left w:val="none" w:sz="0" w:space="0" w:color="auto"/>
        <w:bottom w:val="none" w:sz="0" w:space="0" w:color="auto"/>
        <w:right w:val="none" w:sz="0" w:space="0" w:color="auto"/>
      </w:divBdr>
    </w:div>
    <w:div w:id="1576010510">
      <w:bodyDiv w:val="1"/>
      <w:marLeft w:val="0"/>
      <w:marRight w:val="0"/>
      <w:marTop w:val="0"/>
      <w:marBottom w:val="0"/>
      <w:divBdr>
        <w:top w:val="none" w:sz="0" w:space="0" w:color="auto"/>
        <w:left w:val="none" w:sz="0" w:space="0" w:color="auto"/>
        <w:bottom w:val="none" w:sz="0" w:space="0" w:color="auto"/>
        <w:right w:val="none" w:sz="0" w:space="0" w:color="auto"/>
      </w:divBdr>
    </w:div>
    <w:div w:id="1599219985">
      <w:bodyDiv w:val="1"/>
      <w:marLeft w:val="0"/>
      <w:marRight w:val="0"/>
      <w:marTop w:val="0"/>
      <w:marBottom w:val="0"/>
      <w:divBdr>
        <w:top w:val="none" w:sz="0" w:space="0" w:color="auto"/>
        <w:left w:val="none" w:sz="0" w:space="0" w:color="auto"/>
        <w:bottom w:val="none" w:sz="0" w:space="0" w:color="auto"/>
        <w:right w:val="none" w:sz="0" w:space="0" w:color="auto"/>
      </w:divBdr>
    </w:div>
    <w:div w:id="198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46F4CED3FB19A64488B856CAC699D7B1" ma:contentTypeVersion="25" ma:contentTypeDescription="" ma:contentTypeScope="" ma:versionID="18d51d4b58cf820e3cacd23d6d67f9b5">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dc7d302d055e5fb5ef8f7fdb34d25619"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091d2e9-9a8d-43b9-9375-b101ed7acb32}" ma:internalName="TaxCatchAll" ma:readOnly="false"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091d2e9-9a8d-43b9-9375-b101ed7acb32}" ma:internalName="TaxCatchAllLabel" ma:readOnly="fals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ategory" ma:index="29" nillable="true" ma:displayName="Category" ma:format="Dropdown" ma:internalName="Category">
      <xsd:simpleType>
        <xsd:restriction base="dms:Text">
          <xsd:maxLength value="255"/>
        </xsd:restriction>
      </xsd:simpleType>
    </xsd:element>
    <xsd:element name="Order0" ma:index="30"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18be74b-408a-4821-a541-c1cb6a280853" ContentTypeId="0x010100CD2C4A6BD139E040B17750FF27DCB58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749fcac0-1a83-44ad-a246-cef45f65c140" xsi:nil="true"/>
    <TaxCatchAll xmlns="609d8ea2-166c-4bc4-b8e6-471679cf7152">
      <Value>1</Value>
    </TaxCatchAll>
    <Order0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a85dedec-ceac-4a18-95c0-8dff27475fe3</TermId>
        </TermInfo>
      </Terms>
    </e7f6fcfa129d4532be115c39d4a79470>
    <TaxCatchAllLabel xmlns="609d8ea2-166c-4bc4-b8e6-471679cf7152" xsi:nil="true"/>
    <lcf76f155ced4ddcb4097134ff3c332f xmlns="749fcac0-1a83-44ad-a246-cef45f65c14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C4D5-FDDA-4CC0-AD6C-6C29F4D2C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260DD-215B-4C54-BABD-BD4109A8507F}">
  <ds:schemaRefs>
    <ds:schemaRef ds:uri="Microsoft.SharePoint.Taxonomy.ContentTypeSync"/>
  </ds:schemaRefs>
</ds:datastoreItem>
</file>

<file path=customXml/itemProps3.xml><?xml version="1.0" encoding="utf-8"?>
<ds:datastoreItem xmlns:ds="http://schemas.openxmlformats.org/officeDocument/2006/customXml" ds:itemID="{FA18C45D-7EAF-41C3-A0CB-6A399349D5DA}">
  <ds:schemaRefs>
    <ds:schemaRef ds:uri="http://schemas.microsoft.com/sharepoint/v3/contenttype/forms"/>
  </ds:schemaRefs>
</ds:datastoreItem>
</file>

<file path=customXml/itemProps4.xml><?xml version="1.0" encoding="utf-8"?>
<ds:datastoreItem xmlns:ds="http://schemas.openxmlformats.org/officeDocument/2006/customXml" ds:itemID="{C7EDBA09-21EA-403B-B542-18EC9888503C}">
  <ds:schemaRefs>
    <ds:schemaRef ds:uri="http://schemas.microsoft.com/office/2006/metadata/properties"/>
    <ds:schemaRef ds:uri="http://schemas.microsoft.com/office/infopath/2007/PartnerControls"/>
    <ds:schemaRef ds:uri="749fcac0-1a83-44ad-a246-cef45f65c140"/>
    <ds:schemaRef ds:uri="609d8ea2-166c-4bc4-b8e6-471679cf7152"/>
  </ds:schemaRefs>
</ds:datastoreItem>
</file>

<file path=customXml/itemProps5.xml><?xml version="1.0" encoding="utf-8"?>
<ds:datastoreItem xmlns:ds="http://schemas.openxmlformats.org/officeDocument/2006/customXml" ds:itemID="{825B30E0-6D3F-45C2-9117-7ACFC4CA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7498</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lpstr>
    </vt:vector>
  </TitlesOfParts>
  <Company>West Yorkshire Police</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715314</dc:creator>
  <cp:keywords/>
  <dc:description/>
  <cp:lastModifiedBy>Marc Broadbelt</cp:lastModifiedBy>
  <cp:revision>12</cp:revision>
  <cp:lastPrinted>2025-02-25T14:24:00Z</cp:lastPrinted>
  <dcterms:created xsi:type="dcterms:W3CDTF">2025-02-26T12:47:00Z</dcterms:created>
  <dcterms:modified xsi:type="dcterms:W3CDTF">2025-02-28T10:11:00Z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2022-02-16T10:20:08Z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01c73ec4-66cf-42f5-bad6-8a5af28c6c03</vt:lpwstr>
  </property>
  <property fmtid="{D5CDD505-2E9C-101B-9397-08002B2CF9AE}" pid="8" name="MSIP_Label_159e5fe0-93b7-4e24-83b8-c0737a05597a_ContentBits">
    <vt:lpwstr>0</vt:lpwstr>
  </property>
  <property fmtid="{D5CDD505-2E9C-101B-9397-08002B2CF9AE}" pid="9" name="ContentTypeId">
    <vt:lpwstr>0x010100CD2C4A6BD139E040B17750FF27DCB5880046F4CED3FB19A64488B856CAC699D7B1</vt:lpwstr>
  </property>
  <property fmtid="{D5CDD505-2E9C-101B-9397-08002B2CF9AE}" pid="10" name="Information Asset Owner">
    <vt:lpwstr>1;#Head of Finance|a85dedec-ceac-4a18-95c0-8dff27475fe3</vt:lpwstr>
  </property>
  <property fmtid="{D5CDD505-2E9C-101B-9397-08002B2CF9AE}" pid="11" name="MediaServiceImageTags">
    <vt:lpwstr/>
  </property>
  <property fmtid="{D5CDD505-2E9C-101B-9397-08002B2CF9AE}" pid="12" name="Information_x0020_Asset_x0020_Owner">
    <vt:lpwstr>1;#Head of Finance|a85dedec-ceac-4a18-95c0-8dff27475fe3</vt:lpwstr>
  </property>
</Properties>
</file>