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543"/>
        <w:jc w:val="center"/>
        <w:rPr>
          <w:u w:val="none"/>
        </w:rPr>
      </w:pPr>
      <w:r>
        <w:rPr>
          <w:spacing w:val="-2"/>
          <w:u w:val="none"/>
        </w:rPr>
        <w:t>APPENDIX </w:t>
      </w:r>
      <w:r>
        <w:rPr>
          <w:spacing w:val="-12"/>
          <w:u w:val="none"/>
        </w:rPr>
        <w:t>D</w:t>
      </w:r>
    </w:p>
    <w:p>
      <w:pPr>
        <w:spacing w:line="240" w:lineRule="auto" w:before="109"/>
        <w:rPr>
          <w:b/>
          <w:sz w:val="22"/>
        </w:rPr>
      </w:pPr>
    </w:p>
    <w:p>
      <w:pPr>
        <w:pStyle w:val="BodyText"/>
        <w:spacing w:before="0"/>
        <w:ind w:left="170"/>
        <w:rPr>
          <w:u w:val="none"/>
        </w:rPr>
      </w:pPr>
      <w:r>
        <w:rPr>
          <w:u w:val="single"/>
        </w:rPr>
        <w:t>RESERVES</w:t>
      </w:r>
      <w:r>
        <w:rPr>
          <w:spacing w:val="-13"/>
          <w:u w:val="single"/>
        </w:rPr>
        <w:t> </w:t>
      </w:r>
      <w:r>
        <w:rPr>
          <w:spacing w:val="-2"/>
          <w:u w:val="single"/>
        </w:rPr>
        <w:t>POSITION</w:t>
      </w:r>
      <w:r>
        <w:rPr>
          <w:spacing w:val="40"/>
          <w:u w:val="single"/>
        </w:rPr>
        <w:t> </w:t>
      </w:r>
    </w:p>
    <w:p>
      <w:pPr>
        <w:spacing w:line="240" w:lineRule="auto" w:before="81" w:after="0"/>
        <w:rPr>
          <w:b/>
          <w:sz w:val="20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8"/>
        <w:gridCol w:w="1027"/>
        <w:gridCol w:w="1037"/>
        <w:gridCol w:w="1037"/>
        <w:gridCol w:w="1038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8"/>
      </w:tblGrid>
      <w:tr>
        <w:trPr>
          <w:trHeight w:val="729" w:hRule="atLeast"/>
        </w:trPr>
        <w:tc>
          <w:tcPr>
            <w:tcW w:w="352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23"/>
              <w:ind w:righ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 w:before="1"/>
              <w:ind w:left="48" w:right="0"/>
              <w:jc w:val="left"/>
              <w:rPr>
                <w:rFonts w:ascii="Calibri"/>
                <w:b/>
                <w:i/>
                <w:sz w:val="22"/>
              </w:rPr>
            </w:pPr>
            <w:r>
              <w:rPr>
                <w:rFonts w:ascii="Calibri"/>
                <w:b/>
                <w:i/>
                <w:sz w:val="22"/>
              </w:rPr>
              <w:t>GENERAL </w:t>
            </w:r>
            <w:r>
              <w:rPr>
                <w:rFonts w:ascii="Calibri"/>
                <w:b/>
                <w:i/>
                <w:spacing w:val="-2"/>
                <w:sz w:val="22"/>
              </w:rPr>
              <w:t>FUND:</w:t>
            </w:r>
          </w:p>
        </w:tc>
        <w:tc>
          <w:tcPr>
            <w:tcW w:w="102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9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0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March</w:t>
            </w:r>
          </w:p>
          <w:p>
            <w:pPr>
              <w:pStyle w:val="TableParagraph"/>
              <w:spacing w:before="27"/>
              <w:ind w:left="20" w:righ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7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Transfer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In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9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 w:before="0"/>
              <w:ind w:left="384" w:right="127" w:hanging="2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Transfers </w:t>
            </w:r>
            <w:r>
              <w:rPr>
                <w:b/>
                <w:spacing w:val="-4"/>
                <w:sz w:val="16"/>
              </w:rPr>
              <w:t>Out</w:t>
            </w:r>
          </w:p>
        </w:tc>
        <w:tc>
          <w:tcPr>
            <w:tcW w:w="1038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9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8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March</w:t>
            </w:r>
          </w:p>
          <w:p>
            <w:pPr>
              <w:pStyle w:val="TableParagraph"/>
              <w:spacing w:before="27"/>
              <w:ind w:left="28" w:righ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2024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7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0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Transfer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In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9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 w:before="0"/>
              <w:ind w:left="383" w:right="128" w:hanging="2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Transfers </w:t>
            </w:r>
            <w:r>
              <w:rPr>
                <w:b/>
                <w:spacing w:val="-4"/>
                <w:sz w:val="16"/>
              </w:rPr>
              <w:t>Out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9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March</w:t>
            </w:r>
          </w:p>
          <w:p>
            <w:pPr>
              <w:pStyle w:val="TableParagraph"/>
              <w:spacing w:before="27"/>
              <w:ind w:left="27" w:righ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7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0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Transfer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In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9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 w:before="0"/>
              <w:ind w:left="382" w:right="129" w:hanging="2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Transfers </w:t>
            </w:r>
            <w:r>
              <w:rPr>
                <w:b/>
                <w:spacing w:val="-4"/>
                <w:sz w:val="16"/>
              </w:rPr>
              <w:t>Out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9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7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March</w:t>
            </w:r>
          </w:p>
          <w:p>
            <w:pPr>
              <w:pStyle w:val="TableParagraph"/>
              <w:spacing w:before="27"/>
              <w:ind w:left="27" w:right="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2026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17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10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Transfer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In</w:t>
            </w: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9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 w:before="0"/>
              <w:ind w:left="382" w:right="129" w:hanging="22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Transfers </w:t>
            </w:r>
            <w:r>
              <w:rPr>
                <w:b/>
                <w:spacing w:val="-4"/>
                <w:sz w:val="16"/>
              </w:rPr>
              <w:t>Out</w:t>
            </w:r>
          </w:p>
        </w:tc>
        <w:tc>
          <w:tcPr>
            <w:tcW w:w="1038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90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28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March</w:t>
            </w:r>
          </w:p>
          <w:p>
            <w:pPr>
              <w:pStyle w:val="TableParagraph"/>
              <w:spacing w:before="27"/>
              <w:ind w:left="28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2027</w:t>
            </w:r>
          </w:p>
        </w:tc>
      </w:tr>
      <w:tr>
        <w:trPr>
          <w:trHeight w:val="272" w:hRule="atLeast"/>
        </w:trPr>
        <w:tc>
          <w:tcPr>
            <w:tcW w:w="352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40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50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50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50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49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49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49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49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48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49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48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48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spacing w:before="55"/>
              <w:ind w:left="348" w:right="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£000</w:t>
            </w:r>
          </w:p>
        </w:tc>
      </w:tr>
      <w:tr>
        <w:trPr>
          <w:trHeight w:val="270" w:hRule="atLeast"/>
        </w:trPr>
        <w:tc>
          <w:tcPr>
            <w:tcW w:w="352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528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Fund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Balance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spacing w:before="53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3,701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2"/>
                <w:sz w:val="16"/>
              </w:rPr>
              <w:t>3,701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5"/>
                <w:sz w:val="16"/>
              </w:rPr>
              <w:t>800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2"/>
                <w:sz w:val="16"/>
              </w:rPr>
              <w:t>4,501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2"/>
                <w:sz w:val="16"/>
              </w:rPr>
              <w:t>4,501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spacing w:before="53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4,501</w:t>
            </w:r>
          </w:p>
        </w:tc>
      </w:tr>
      <w:tr>
        <w:trPr>
          <w:trHeight w:val="283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Balance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Risk </w:t>
            </w:r>
            <w:r>
              <w:rPr>
                <w:spacing w:val="-2"/>
                <w:sz w:val="16"/>
              </w:rPr>
              <w:t>Matrix</w:t>
            </w:r>
          </w:p>
        </w:tc>
        <w:tc>
          <w:tcPr>
            <w:tcW w:w="102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10,850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10,850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10,850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10,850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10,850</w:t>
            </w:r>
          </w:p>
        </w:tc>
      </w:tr>
      <w:tr>
        <w:trPr>
          <w:trHeight w:val="27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shd w:val="clear" w:color="auto" w:fill="BCD6ED"/>
          </w:tcPr>
          <w:p>
            <w:pPr>
              <w:pStyle w:val="TableParagraph"/>
              <w:spacing w:before="53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14,551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ind w:right="10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38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14,551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ind w:right="1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15,351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15,351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38" w:type="dxa"/>
            <w:shd w:val="clear" w:color="auto" w:fill="BCD6ED"/>
          </w:tcPr>
          <w:p>
            <w:pPr>
              <w:pStyle w:val="TableParagraph"/>
              <w:spacing w:before="53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15,351</w:t>
            </w:r>
          </w:p>
        </w:tc>
      </w:tr>
      <w:tr>
        <w:trPr>
          <w:trHeight w:val="263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33" w:right="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EARMARKED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RESERVES:</w:t>
            </w:r>
          </w:p>
        </w:tc>
        <w:tc>
          <w:tcPr>
            <w:tcW w:w="102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tcBorders>
              <w:bottom w:val="nil"/>
            </w:tcBorders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Unapplied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Account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spacing w:before="81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738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(738)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spacing w:before="81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9,349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2"/>
                <w:sz w:val="16"/>
              </w:rPr>
              <w:t>1,000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(5,105)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5,244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(2,170)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3,074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(3,074)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Receipts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7,092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2"/>
                <w:sz w:val="16"/>
              </w:rPr>
              <w:t>1,000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(902)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7,190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2,270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(4,371)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5,089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(2,081)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3,008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(3,008)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Revenue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Pressures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16,959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2"/>
                <w:sz w:val="16"/>
              </w:rPr>
              <w:t>4,106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(4,387)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16,678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(3,510)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13,168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5"/>
                <w:sz w:val="16"/>
              </w:rPr>
              <w:t>(9)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13,159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13,159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PFI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13,241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13,241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13,241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13,363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13,365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Income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405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(405)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Council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Tax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Support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Grant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2,378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(2,344)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(33)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5"/>
                <w:sz w:val="16"/>
              </w:rPr>
              <w:t>(0)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color w:val="FF0000"/>
                <w:spacing w:val="-5"/>
                <w:sz w:val="16"/>
              </w:rPr>
              <w:t>(0)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color w:val="FF0000"/>
                <w:spacing w:val="-5"/>
                <w:sz w:val="16"/>
              </w:rPr>
              <w:t>(0)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Organisational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Change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Fund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820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820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(520)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(300)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Wellbeing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(109)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(104)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Community</w:t>
            </w:r>
            <w:r>
              <w:rPr>
                <w:spacing w:val="-2"/>
                <w:sz w:val="16"/>
              </w:rPr>
              <w:t> Safety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1,434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(326)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1,108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1,108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1,108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1,108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COVID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1,959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1,959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(1,959)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Safeguarding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517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229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FF0000"/>
                <w:spacing w:val="-4"/>
                <w:sz w:val="16"/>
              </w:rPr>
              <w:t>(98)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647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(517)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(130)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Police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Uplift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5,932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(950)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4,982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(2,000)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2,982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(2,000)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5"/>
                <w:sz w:val="16"/>
              </w:rPr>
              <w:t>982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(590)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5"/>
                <w:sz w:val="16"/>
              </w:rPr>
              <w:t>392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ESN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2,486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2,486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2,486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2,486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2"/>
                <w:sz w:val="16"/>
              </w:rPr>
              <w:t>2,486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Energy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3,365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(1,682)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1,682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(1,682)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Digital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Innovation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2"/>
                <w:sz w:val="16"/>
              </w:rPr>
              <w:t>1,341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(1,000)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341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(341)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Cultural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Awareness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900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(450)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color w:val="FF0000"/>
                <w:spacing w:val="-2"/>
                <w:sz w:val="16"/>
              </w:rPr>
              <w:t>(450)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Property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Refurbishment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  <w:bottom w:val="nil"/>
            </w:tcBorders>
            <w:shd w:val="clear" w:color="auto" w:fill="BCD6ED"/>
          </w:tcPr>
          <w:p>
            <w:pPr>
              <w:pStyle w:val="TableParagraph"/>
              <w:ind w:right="15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</w:tr>
      <w:tr>
        <w:trPr>
          <w:trHeight w:val="283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33" w:right="0"/>
              <w:jc w:val="left"/>
              <w:rPr>
                <w:sz w:val="16"/>
              </w:rPr>
            </w:pPr>
            <w:r>
              <w:rPr>
                <w:sz w:val="16"/>
              </w:rPr>
              <w:t>Sustainability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Reserve</w:t>
            </w:r>
          </w:p>
        </w:tc>
        <w:tc>
          <w:tcPr>
            <w:tcW w:w="102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5"/>
                <w:sz w:val="16"/>
              </w:rPr>
              <w:t>899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899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ind w:right="11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ind w:right="13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899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5"/>
                <w:sz w:val="16"/>
              </w:rPr>
              <w:t>899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1038" w:type="dxa"/>
            <w:tcBorders>
              <w:top w:val="nil"/>
            </w:tcBorders>
            <w:shd w:val="clear" w:color="auto" w:fill="BCD6ED"/>
          </w:tcPr>
          <w:p>
            <w:pPr>
              <w:pStyle w:val="TableParagraph"/>
              <w:ind w:right="14"/>
              <w:rPr>
                <w:sz w:val="16"/>
              </w:rPr>
            </w:pPr>
            <w:r>
              <w:rPr>
                <w:spacing w:val="-5"/>
                <w:sz w:val="16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33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Earmarked</w:t>
            </w:r>
          </w:p>
        </w:tc>
        <w:tc>
          <w:tcPr>
            <w:tcW w:w="1027" w:type="dxa"/>
            <w:shd w:val="clear" w:color="auto" w:fill="BCD6ED"/>
          </w:tcPr>
          <w:p>
            <w:pPr>
              <w:pStyle w:val="TableParagraph"/>
              <w:spacing w:before="53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69,178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7,233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ind w:right="11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(18,496)</w:t>
            </w:r>
          </w:p>
        </w:tc>
        <w:tc>
          <w:tcPr>
            <w:tcW w:w="1038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57,915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2,270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(17,658)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42,528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ind w:righ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122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(7,594)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35,056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(3,598)</w:t>
            </w:r>
          </w:p>
        </w:tc>
        <w:tc>
          <w:tcPr>
            <w:tcW w:w="1038" w:type="dxa"/>
            <w:shd w:val="clear" w:color="auto" w:fill="BCD6ED"/>
          </w:tcPr>
          <w:p>
            <w:pPr>
              <w:pStyle w:val="TableParagraph"/>
              <w:spacing w:before="53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31,460</w:t>
            </w:r>
          </w:p>
        </w:tc>
      </w:tr>
      <w:tr>
        <w:trPr>
          <w:trHeight w:val="27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0"/>
              <w:ind w:left="40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 WYP</w:t>
            </w:r>
            <w:r>
              <w:rPr>
                <w:b/>
                <w:spacing w:val="-2"/>
                <w:sz w:val="22"/>
              </w:rPr>
              <w:t> Reserves</w:t>
            </w:r>
          </w:p>
        </w:tc>
        <w:tc>
          <w:tcPr>
            <w:tcW w:w="1027" w:type="dxa"/>
            <w:shd w:val="clear" w:color="auto" w:fill="BCD6ED"/>
          </w:tcPr>
          <w:p>
            <w:pPr>
              <w:pStyle w:val="TableParagraph"/>
              <w:spacing w:before="53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83,729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ind w:right="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7,233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ind w:right="11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(18,496)</w:t>
            </w:r>
          </w:p>
        </w:tc>
        <w:tc>
          <w:tcPr>
            <w:tcW w:w="1038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72,466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3,070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(17,658)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57,879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ind w:righ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122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(7,594)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50,407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53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(3,598)</w:t>
            </w:r>
          </w:p>
        </w:tc>
        <w:tc>
          <w:tcPr>
            <w:tcW w:w="1038" w:type="dxa"/>
            <w:shd w:val="clear" w:color="auto" w:fill="BCD6ED"/>
          </w:tcPr>
          <w:p>
            <w:pPr>
              <w:pStyle w:val="TableParagraph"/>
              <w:spacing w:before="53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46,810</w:t>
            </w:r>
          </w:p>
        </w:tc>
      </w:tr>
      <w:tr>
        <w:trPr>
          <w:trHeight w:val="270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27" w:type="dxa"/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8" w:type="dxa"/>
            <w:shd w:val="clear" w:color="auto" w:fill="BCD6ED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48" w:hRule="atLeast"/>
        </w:trPr>
        <w:tc>
          <w:tcPr>
            <w:tcW w:w="35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9" w:lineRule="exact" w:before="0"/>
              <w:ind w:left="40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Regional/National</w:t>
            </w:r>
          </w:p>
          <w:p>
            <w:pPr>
              <w:pStyle w:val="TableParagraph"/>
              <w:spacing w:before="30"/>
              <w:ind w:left="40" w:right="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Reserves</w:t>
            </w:r>
          </w:p>
        </w:tc>
        <w:tc>
          <w:tcPr>
            <w:tcW w:w="1027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29,299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1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(2,903)</w:t>
            </w:r>
          </w:p>
        </w:tc>
        <w:tc>
          <w:tcPr>
            <w:tcW w:w="1038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26,546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1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(4,086)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22,460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3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(20)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22,589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100</w:t>
            </w:r>
          </w:p>
        </w:tc>
        <w:tc>
          <w:tcPr>
            <w:tcW w:w="1037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3"/>
              <w:rPr>
                <w:b/>
                <w:sz w:val="16"/>
              </w:rPr>
            </w:pPr>
            <w:r>
              <w:rPr>
                <w:b/>
                <w:color w:val="FF0000"/>
                <w:spacing w:val="-4"/>
                <w:sz w:val="16"/>
              </w:rPr>
              <w:t>(20)</w:t>
            </w:r>
          </w:p>
        </w:tc>
        <w:tc>
          <w:tcPr>
            <w:tcW w:w="1038" w:type="dxa"/>
            <w:shd w:val="clear" w:color="auto" w:fill="BCD6ED"/>
          </w:tcPr>
          <w:p>
            <w:pPr>
              <w:pStyle w:val="TableParagraph"/>
              <w:spacing w:before="148"/>
              <w:ind w:right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right="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22,669</w:t>
            </w:r>
          </w:p>
        </w:tc>
      </w:tr>
    </w:tbl>
    <w:sectPr>
      <w:type w:val="continuous"/>
      <w:pgSz w:w="23820" w:h="16840" w:orient="landscape"/>
      <w:pgMar w:top="380" w:bottom="280" w:left="90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1"/>
    </w:pPr>
    <w:rPr>
      <w:rFonts w:ascii="Arial" w:hAnsi="Arial" w:eastAsia="Arial" w:cs="Arial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6"/>
      <w:ind w:right="12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Sohal, Jag</dc:creator>
  <dcterms:created xsi:type="dcterms:W3CDTF">2025-02-18T13:34:37Z</dcterms:created>
  <dcterms:modified xsi:type="dcterms:W3CDTF">2025-02-18T13:34:37Z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Excel® for Microsoft 365</vt:lpwstr>
  </property>
</Properties>
</file>